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E6A1D0E" w:rsidR="006F19E3" w:rsidRPr="0058426F" w:rsidRDefault="00690DD7" w:rsidP="00370BE5">
            <w:pPr>
              <w:pStyle w:val="Header"/>
              <w:spacing w:before="0" w:after="0" w:line="240" w:lineRule="auto"/>
              <w:ind w:left="113"/>
              <w:rPr>
                <w:rFonts w:cs="Arial"/>
                <w:b/>
                <w:color w:val="FFFFFF"/>
                <w:sz w:val="40"/>
                <w:szCs w:val="40"/>
              </w:rPr>
            </w:pPr>
            <w:r>
              <w:rPr>
                <w:rFonts w:cs="Arial"/>
                <w:b/>
                <w:color w:val="FFFFFF"/>
                <w:sz w:val="40"/>
                <w:szCs w:val="40"/>
              </w:rPr>
              <w:t xml:space="preserve">   </w:t>
            </w:r>
            <w:r w:rsidR="000D1D1B" w:rsidRPr="00DE30B7">
              <w:rPr>
                <w:rFonts w:cs="Arial"/>
                <w:b/>
                <w:color w:val="FFFFFF"/>
                <w:sz w:val="40"/>
                <w:szCs w:val="40"/>
              </w:rPr>
              <w:t>DCUSA Consultation</w:t>
            </w:r>
            <w:r w:rsidR="0041589A">
              <w:rPr>
                <w:rFonts w:cs="Arial"/>
                <w:b/>
                <w:color w:val="FFFFFF"/>
                <w:sz w:val="40"/>
                <w:szCs w:val="40"/>
              </w:rPr>
              <w:t xml:space="preserve"> 2</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4BF00FC5" w14:textId="77777777" w:rsidR="000D2E96" w:rsidRPr="00EB32BB" w:rsidRDefault="000D2E96" w:rsidP="000D2E96">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443</w:t>
            </w:r>
            <w:r w:rsidRPr="00CB28D9">
              <w:rPr>
                <w:rFonts w:cs="Arial"/>
                <w:b/>
                <w:bCs/>
                <w:color w:val="008576"/>
                <w:sz w:val="80"/>
                <w:szCs w:val="80"/>
              </w:rPr>
              <w:t>:</w:t>
            </w:r>
          </w:p>
          <w:p w14:paraId="5399D9E6" w14:textId="77777777" w:rsidR="000D2E96" w:rsidRDefault="000D2E96" w:rsidP="000D2E96">
            <w:pPr>
              <w:ind w:left="113" w:right="113"/>
              <w:rPr>
                <w:rFonts w:cs="Arial"/>
                <w:i/>
                <w:color w:val="00B274"/>
                <w:sz w:val="24"/>
              </w:rPr>
            </w:pPr>
            <w:bookmarkStart w:id="0" w:name="_Hlk177122817"/>
            <w:r>
              <w:rPr>
                <w:rFonts w:cs="Arial"/>
                <w:b/>
                <w:bCs/>
                <w:color w:val="008000"/>
                <w:sz w:val="48"/>
                <w:szCs w:val="48"/>
              </w:rPr>
              <w:t>Excess Capacity</w:t>
            </w:r>
          </w:p>
          <w:bookmarkEnd w:id="0"/>
          <w:p w14:paraId="50492485" w14:textId="77777777" w:rsidR="000D2E96" w:rsidRPr="00CB28D9" w:rsidRDefault="000D2E96" w:rsidP="000D2E96">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AAB0A3B4147C4A6CA4E04D4A20D9DDB6"/>
                </w:placeholder>
              </w:sdtPr>
              <w:sdtContent>
                <w:r w:rsidRPr="00461FC7">
                  <w:rPr>
                    <w:rStyle w:val="BodyText3Char"/>
                    <w:rFonts w:ascii="Arial" w:hAnsi="Arial" w:cs="Arial"/>
                    <w:sz w:val="24"/>
                    <w:szCs w:val="24"/>
                  </w:rPr>
                  <w:t>09/07/2024</w:t>
                </w:r>
              </w:sdtContent>
            </w:sdt>
          </w:p>
          <w:p w14:paraId="210AE599" w14:textId="77777777" w:rsidR="000D2E96" w:rsidRPr="00CB28D9" w:rsidRDefault="000D2E96" w:rsidP="000D2E96">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111B52CF7E6E4061AF2DF5DDC46FABE3"/>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3A16EBE9" w14:textId="77777777" w:rsidR="000D2E96" w:rsidRPr="00CB28D9" w:rsidRDefault="000D2E96" w:rsidP="000D2E96">
            <w:pPr>
              <w:spacing w:before="40" w:after="80"/>
              <w:ind w:left="113"/>
              <w:rPr>
                <w:rFonts w:cs="Arial"/>
                <w:sz w:val="24"/>
              </w:rPr>
            </w:pPr>
            <w:r w:rsidRPr="00CB28D9">
              <w:rPr>
                <w:rFonts w:cs="Arial"/>
                <w:b/>
                <w:sz w:val="24"/>
              </w:rPr>
              <w:t xml:space="preserve">Company Name: </w:t>
            </w:r>
            <w:sdt>
              <w:sdtPr>
                <w:rPr>
                  <w:rStyle w:val="TemplateFill"/>
                  <w:rFonts w:eastAsia="MS Gothic"/>
                  <w:sz w:val="24"/>
                </w:rPr>
                <w:alias w:val="Party Name"/>
                <w:tag w:val="Party Name"/>
                <w:id w:val="-660461895"/>
                <w:placeholder>
                  <w:docPart w:val="8AEC9806B14D442997D620053405AAE6"/>
                </w:placeholder>
              </w:sdtPr>
              <w:sdtEndPr>
                <w:rPr>
                  <w:rStyle w:val="DefaultParagraphFont"/>
                  <w:rFonts w:ascii="Arial" w:eastAsia="Times New Roman" w:hAnsi="Arial" w:cs="Arial"/>
                  <w:color w:val="000000" w:themeColor="text1"/>
                </w:rPr>
              </w:sdtEndPr>
              <w:sdtContent>
                <w:r>
                  <w:rPr>
                    <w:rStyle w:val="TemplateFill"/>
                    <w:rFonts w:eastAsia="MS Gothic"/>
                    <w:sz w:val="24"/>
                  </w:rPr>
                  <w:t>Eastern Power Networks</w:t>
                </w:r>
              </w:sdtContent>
            </w:sdt>
          </w:p>
          <w:p w14:paraId="1CDA923C" w14:textId="1C650E82" w:rsidR="004C291F" w:rsidRPr="004C291F" w:rsidRDefault="000D2E96" w:rsidP="000D2E96">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8B6090734AF74E4B8A5F53BA10464A2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1252" w:type="pct"/>
            <w:tcBorders>
              <w:top w:val="single" w:sz="4" w:space="0" w:color="4A8958"/>
              <w:left w:val="single" w:sz="4" w:space="0" w:color="FFFFFF"/>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3D4A4981" w:rsidR="006F19E3" w:rsidRPr="00EB32BB" w:rsidRDefault="00000000"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0D2E96" w:rsidRPr="00461FC7">
                  <w:rPr>
                    <w:rStyle w:val="BodyText3Char"/>
                    <w:rFonts w:ascii="Arial" w:eastAsia="MS Gothic" w:hAnsi="Arial" w:cs="Arial"/>
                    <w:sz w:val="24"/>
                    <w:szCs w:val="24"/>
                  </w:rPr>
                  <w:t>To drive the correct customer behaviour regarding exceeding capacity.</w:t>
                </w:r>
              </w:sdtContent>
            </w:sdt>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2B552F8B" w14:textId="68926E9B"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4C291F">
              <w:t>44</w:t>
            </w:r>
            <w:r w:rsidR="000B4C7A">
              <w:t>3</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168FD6A4"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9053DF">
              <w:t xml:space="preserve">Friday </w:t>
            </w:r>
            <w:commentRangeStart w:id="1"/>
            <w:r w:rsidR="0041589A">
              <w:t>XX</w:t>
            </w:r>
            <w:r w:rsidR="00E65AFD">
              <w:t xml:space="preserve"> </w:t>
            </w:r>
            <w:r w:rsidR="0041589A">
              <w:t>XXX</w:t>
            </w:r>
            <w:r w:rsidR="00E65AFD">
              <w:t xml:space="preserve"> 202</w:t>
            </w:r>
            <w:r w:rsidR="0041589A">
              <w:t>6</w:t>
            </w:r>
            <w:r w:rsidR="006E569E">
              <w:t>.</w:t>
            </w:r>
            <w:commentRangeEnd w:id="1"/>
            <w:r w:rsidR="0041589A" w:rsidRPr="00882F64">
              <w:rPr>
                <w:rStyle w:val="CommentReference"/>
                <w:sz w:val="24"/>
              </w:rPr>
              <w:commentReference w:id="1"/>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03E439CC" w:rsidR="004C291F" w:rsidRPr="004C291F" w:rsidRDefault="000D2E96" w:rsidP="00370BE5">
            <w:pPr>
              <w:ind w:left="113" w:right="113"/>
              <w:rPr>
                <w:rFonts w:cs="Arial"/>
              </w:rPr>
            </w:pPr>
            <w:r>
              <w:rPr>
                <w:sz w:val="24"/>
              </w:rPr>
              <w:t>Suppliers/DNOs/IDNOs/</w:t>
            </w:r>
            <w:bookmarkStart w:id="2" w:name="_Hlk177124383"/>
            <w:r>
              <w:rPr>
                <w:sz w:val="24"/>
              </w:rPr>
              <w:t>CVA Registrants</w:t>
            </w:r>
            <w:bookmarkEnd w:id="2"/>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6D924ED0" w:rsidR="004C291F" w:rsidRPr="00EB32BB" w:rsidRDefault="00000000"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0D2E96" w:rsidRPr="00461FC7">
                  <w:rPr>
                    <w:rStyle w:val="BodyText3Char"/>
                    <w:rFonts w:ascii="Arial" w:eastAsia="MS Gothic" w:hAnsi="Arial" w:cs="Arial"/>
                    <w:sz w:val="24"/>
                    <w:szCs w:val="24"/>
                  </w:rPr>
                  <w:t>Schedule</w:t>
                </w:r>
                <w:r w:rsidR="000D2E96">
                  <w:rPr>
                    <w:rStyle w:val="BodyText3Char"/>
                    <w:rFonts w:ascii="Arial" w:eastAsia="MS Gothic" w:hAnsi="Arial" w:cs="Arial"/>
                    <w:sz w:val="24"/>
                    <w:szCs w:val="24"/>
                  </w:rPr>
                  <w:t>s</w:t>
                </w:r>
                <w:r w:rsidR="000D2E96" w:rsidRPr="00461FC7">
                  <w:rPr>
                    <w:rStyle w:val="BodyText3Char"/>
                    <w:rFonts w:ascii="Arial" w:eastAsia="MS Gothic" w:hAnsi="Arial" w:cs="Arial"/>
                    <w:sz w:val="24"/>
                    <w:szCs w:val="24"/>
                  </w:rPr>
                  <w:t xml:space="preserve"> 16/1</w:t>
                </w:r>
                <w:r w:rsidR="000D2E96">
                  <w:rPr>
                    <w:rStyle w:val="BodyText3Char"/>
                    <w:rFonts w:ascii="Arial" w:eastAsia="MS Gothic" w:hAnsi="Arial" w:cs="Arial"/>
                    <w:sz w:val="24"/>
                    <w:szCs w:val="24"/>
                  </w:rPr>
                  <w:t xml:space="preserve">7 and </w:t>
                </w:r>
                <w:r w:rsidR="000D2E96" w:rsidRPr="00461FC7">
                  <w:rPr>
                    <w:rStyle w:val="BodyText3Char"/>
                    <w:rFonts w:ascii="Arial" w:eastAsia="MS Gothic" w:hAnsi="Arial" w:cs="Arial"/>
                    <w:sz w:val="24"/>
                    <w:szCs w:val="24"/>
                  </w:rPr>
                  <w:t>18</w:t>
                </w:r>
              </w:sdtContent>
            </w:sdt>
          </w:p>
        </w:tc>
      </w:tr>
    </w:tbl>
    <w:p w14:paraId="47D4BB75" w14:textId="045428F2" w:rsidR="006F733B" w:rsidRDefault="006F733B" w:rsidP="00370BE5">
      <w:pPr>
        <w:rPr>
          <w:rFonts w:cs="Arial"/>
        </w:rPr>
      </w:pPr>
    </w:p>
    <w:p w14:paraId="44C55CB1" w14:textId="77777777" w:rsidR="000D2E96" w:rsidRDefault="000D2E96" w:rsidP="00370BE5">
      <w:pPr>
        <w:rPr>
          <w:rFonts w:cs="Arial"/>
        </w:rPr>
      </w:pPr>
    </w:p>
    <w:p w14:paraId="2AE59735" w14:textId="77777777" w:rsidR="000D2E96" w:rsidRDefault="000D2E96" w:rsidP="00370BE5">
      <w:pPr>
        <w:rPr>
          <w:rFonts w:cs="Arial"/>
        </w:rPr>
      </w:pPr>
    </w:p>
    <w:p w14:paraId="5A5D137E" w14:textId="77777777" w:rsidR="000D2E96" w:rsidRDefault="000D2E96" w:rsidP="00370BE5">
      <w:pPr>
        <w:rPr>
          <w:rFonts w:cs="Arial"/>
        </w:rPr>
      </w:pPr>
    </w:p>
    <w:p w14:paraId="592D368D" w14:textId="77777777" w:rsidR="000D2E96" w:rsidRDefault="000D2E96" w:rsidP="00370BE5">
      <w:pPr>
        <w:rPr>
          <w:rFonts w:cs="Arial"/>
        </w:rPr>
      </w:pPr>
    </w:p>
    <w:p w14:paraId="302C5650" w14:textId="77777777" w:rsidR="000D2E96" w:rsidRDefault="000D2E96" w:rsidP="00370BE5">
      <w:pPr>
        <w:rPr>
          <w:rFonts w:cs="Arial"/>
        </w:rPr>
      </w:pPr>
    </w:p>
    <w:p w14:paraId="02FE0D69" w14:textId="77777777" w:rsidR="000D2E96" w:rsidRDefault="000D2E96" w:rsidP="00370BE5">
      <w:pPr>
        <w:rPr>
          <w:rFonts w:cs="Arial"/>
        </w:rPr>
      </w:pPr>
    </w:p>
    <w:p w14:paraId="6208BD54" w14:textId="763BA29C" w:rsidR="000363FA" w:rsidRDefault="000363FA" w:rsidP="00370BE5">
      <w:pPr>
        <w:rPr>
          <w:rFonts w:cs="Arial"/>
        </w:rPr>
      </w:pPr>
    </w:p>
    <w:tbl>
      <w:tblPr>
        <w:tblW w:w="5317" w:type="pct"/>
        <w:tblInd w:w="-572" w:type="dxa"/>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22"/>
        <w:gridCol w:w="3066"/>
      </w:tblGrid>
      <w:tr w:rsidR="000D2E96" w:rsidRPr="00EB32BB" w14:paraId="730C071D" w14:textId="77777777" w:rsidTr="000D2E96">
        <w:trPr>
          <w:trHeight w:val="617"/>
        </w:trPr>
        <w:tc>
          <w:tcPr>
            <w:tcW w:w="3401" w:type="pct"/>
            <w:vMerge w:val="restart"/>
            <w:tcBorders>
              <w:right w:val="single" w:sz="4" w:space="0" w:color="70AD47" w:themeColor="accent6"/>
            </w:tcBorders>
          </w:tcPr>
          <w:p w14:paraId="3A522DD7" w14:textId="77777777" w:rsidR="000D2E96" w:rsidRPr="0058426F" w:rsidRDefault="000D2E96" w:rsidP="000D2E96">
            <w:pPr>
              <w:pStyle w:val="Contents02"/>
              <w:keepNext w:val="0"/>
              <w:rPr>
                <w:b/>
                <w:noProof/>
              </w:rPr>
            </w:pPr>
            <w:r w:rsidRPr="0058426F">
              <w:rPr>
                <w:b/>
                <w:noProof/>
              </w:rPr>
              <w:lastRenderedPageBreak/>
              <w:t>Contents</w:t>
            </w:r>
          </w:p>
          <w:p w14:paraId="499FA7D6" w14:textId="438450FC" w:rsidR="00FB35C2" w:rsidRDefault="000D2E96" w:rsidP="00FB35C2">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FB35C2">
              <w:t>1</w:t>
            </w:r>
            <w:r w:rsidR="00FB35C2">
              <w:rPr>
                <w:rFonts w:asciiTheme="minorHAnsi" w:eastAsiaTheme="minorEastAsia" w:hAnsiTheme="minorHAnsi" w:cstheme="minorBidi"/>
                <w:b w:val="0"/>
                <w:bCs w:val="0"/>
                <w:color w:val="auto"/>
                <w:kern w:val="2"/>
                <w14:ligatures w14:val="standardContextual"/>
              </w:rPr>
              <w:tab/>
            </w:r>
            <w:r w:rsidR="00FB35C2">
              <w:t>Summary</w:t>
            </w:r>
            <w:r w:rsidR="00FB35C2">
              <w:tab/>
            </w:r>
            <w:r w:rsidR="00FB35C2">
              <w:fldChar w:fldCharType="begin"/>
            </w:r>
            <w:r w:rsidR="00FB35C2">
              <w:instrText xml:space="preserve"> PAGEREF _Toc177119166 \h </w:instrText>
            </w:r>
            <w:r w:rsidR="00FB35C2">
              <w:fldChar w:fldCharType="separate"/>
            </w:r>
            <w:r w:rsidR="00513D37">
              <w:t>3</w:t>
            </w:r>
            <w:r w:rsidR="00FB35C2">
              <w:fldChar w:fldCharType="end"/>
            </w:r>
          </w:p>
          <w:p w14:paraId="0CF6A32C" w14:textId="5FE2561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_Toc177119167 \h </w:instrText>
            </w:r>
            <w:r>
              <w:fldChar w:fldCharType="separate"/>
            </w:r>
            <w:r w:rsidR="00513D37">
              <w:t>3</w:t>
            </w:r>
            <w:r>
              <w:fldChar w:fldCharType="end"/>
            </w:r>
          </w:p>
          <w:p w14:paraId="6CDE8E12" w14:textId="7D71F4DF"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_Toc177119168 \h </w:instrText>
            </w:r>
            <w:r>
              <w:fldChar w:fldCharType="separate"/>
            </w:r>
            <w:r w:rsidR="00513D37">
              <w:t>3</w:t>
            </w:r>
            <w:r>
              <w:fldChar w:fldCharType="end"/>
            </w:r>
          </w:p>
          <w:p w14:paraId="30FD467F" w14:textId="09B2CB4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_Toc177119169 \h </w:instrText>
            </w:r>
            <w:r>
              <w:fldChar w:fldCharType="separate"/>
            </w:r>
            <w:r w:rsidR="00513D37">
              <w:t>6</w:t>
            </w:r>
            <w:r>
              <w:fldChar w:fldCharType="end"/>
            </w:r>
          </w:p>
          <w:p w14:paraId="7F8636A5" w14:textId="6BFB3C2E"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_Toc177119170 \h </w:instrText>
            </w:r>
            <w:r>
              <w:fldChar w:fldCharType="separate"/>
            </w:r>
            <w:r w:rsidR="00513D37">
              <w:t>10</w:t>
            </w:r>
            <w:r>
              <w:fldChar w:fldCharType="end"/>
            </w:r>
          </w:p>
          <w:p w14:paraId="5AEB6734" w14:textId="6B18069D"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_Toc177119171 \h </w:instrText>
            </w:r>
            <w:r>
              <w:fldChar w:fldCharType="separate"/>
            </w:r>
            <w:r w:rsidR="00513D37">
              <w:t>11</w:t>
            </w:r>
            <w:r>
              <w:fldChar w:fldCharType="end"/>
            </w:r>
          </w:p>
          <w:p w14:paraId="13E31B1F" w14:textId="2E76651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_Toc177119172 \h </w:instrText>
            </w:r>
            <w:r>
              <w:fldChar w:fldCharType="separate"/>
            </w:r>
            <w:r w:rsidR="00513D37">
              <w:t>12</w:t>
            </w:r>
            <w:r>
              <w:fldChar w:fldCharType="end"/>
            </w:r>
          </w:p>
          <w:p w14:paraId="0A9436F4" w14:textId="08E81B7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Legal Text</w:t>
            </w:r>
            <w:r>
              <w:tab/>
            </w:r>
            <w:r>
              <w:fldChar w:fldCharType="begin"/>
            </w:r>
            <w:r>
              <w:instrText xml:space="preserve"> PAGEREF _Toc177119173 \h </w:instrText>
            </w:r>
            <w:r>
              <w:fldChar w:fldCharType="separate"/>
            </w:r>
            <w:r w:rsidR="00513D37">
              <w:t>12</w:t>
            </w:r>
            <w:r>
              <w:fldChar w:fldCharType="end"/>
            </w:r>
          </w:p>
          <w:p w14:paraId="730CD513" w14:textId="0BE3BC6B"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Consultation Questions</w:t>
            </w:r>
            <w:r>
              <w:tab/>
            </w:r>
            <w:r>
              <w:fldChar w:fldCharType="begin"/>
            </w:r>
            <w:r>
              <w:instrText xml:space="preserve"> PAGEREF _Toc177119174 \h </w:instrText>
            </w:r>
            <w:r>
              <w:fldChar w:fldCharType="separate"/>
            </w:r>
            <w:r w:rsidR="00513D37">
              <w:t>14</w:t>
            </w:r>
            <w:r>
              <w:fldChar w:fldCharType="end"/>
            </w:r>
          </w:p>
          <w:p w14:paraId="4E574113" w14:textId="72D3BE19"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_Toc177119175 \h </w:instrText>
            </w:r>
            <w:r>
              <w:fldChar w:fldCharType="separate"/>
            </w:r>
            <w:r w:rsidR="00513D37">
              <w:t>16</w:t>
            </w:r>
            <w:r>
              <w:fldChar w:fldCharType="end"/>
            </w:r>
          </w:p>
          <w:p w14:paraId="390C02A3" w14:textId="04684375" w:rsidR="000D2E96" w:rsidRPr="00EB32BB" w:rsidRDefault="000D2E96" w:rsidP="000D2E96">
            <w:pPr>
              <w:pStyle w:val="TOCMOD"/>
              <w:framePr w:wrap="around"/>
              <w:tabs>
                <w:tab w:val="clear" w:pos="382"/>
                <w:tab w:val="clear" w:pos="7655"/>
                <w:tab w:val="left" w:pos="5385"/>
              </w:tabs>
              <w:rPr>
                <w:rFonts w:cs="Arial"/>
              </w:rPr>
            </w:pPr>
            <w:r>
              <w:fldChar w:fldCharType="end"/>
            </w:r>
          </w:p>
          <w:p w14:paraId="1CCDF1EC" w14:textId="3C72FF25" w:rsidR="000D2E96" w:rsidRPr="0058426F" w:rsidRDefault="000D2E96" w:rsidP="000D2E96">
            <w:pPr>
              <w:pStyle w:val="Contents02"/>
              <w:keepNext w:val="0"/>
              <w:rPr>
                <w:b/>
              </w:rPr>
            </w:pPr>
            <w:r w:rsidRPr="0058426F">
              <w:rPr>
                <w:b/>
              </w:rPr>
              <w:t>Timetable</w:t>
            </w:r>
            <w:r>
              <w:rPr>
                <w:b/>
              </w:rPr>
              <w:t xml:space="preserve">                                                                     </w:t>
            </w:r>
          </w:p>
          <w:tbl>
            <w:tblPr>
              <w:tblW w:w="7059"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496"/>
              <w:gridCol w:w="2563"/>
            </w:tblGrid>
            <w:tr w:rsidR="000D2E96" w:rsidRPr="00EB32BB" w14:paraId="4358E7EA" w14:textId="77777777" w:rsidTr="000D2E96">
              <w:tc>
                <w:tcPr>
                  <w:tcW w:w="4496" w:type="dxa"/>
                  <w:shd w:val="clear" w:color="auto" w:fill="BDD6EE"/>
                </w:tcPr>
                <w:p w14:paraId="23C6A1E2" w14:textId="77777777" w:rsidR="000D2E96" w:rsidRPr="00FF0C32" w:rsidRDefault="000D2E96" w:rsidP="000D2E96">
                  <w:pPr>
                    <w:pStyle w:val="Heading4"/>
                  </w:pPr>
                  <w:r w:rsidRPr="00FF0C32">
                    <w:t>Activity</w:t>
                  </w:r>
                </w:p>
              </w:tc>
              <w:tc>
                <w:tcPr>
                  <w:tcW w:w="2563" w:type="dxa"/>
                  <w:shd w:val="clear" w:color="auto" w:fill="BDD6EE"/>
                  <w:vAlign w:val="center"/>
                </w:tcPr>
                <w:p w14:paraId="163D28F4" w14:textId="77777777" w:rsidR="000D2E96" w:rsidRPr="007F41DB" w:rsidRDefault="000D2E96" w:rsidP="000D2E96">
                  <w:pPr>
                    <w:pStyle w:val="Heading4"/>
                  </w:pPr>
                  <w:r w:rsidRPr="007F41DB">
                    <w:t>Date</w:t>
                  </w:r>
                </w:p>
              </w:tc>
            </w:tr>
            <w:tr w:rsidR="000D2E96" w:rsidRPr="00EB32BB" w14:paraId="72B2E369" w14:textId="77777777" w:rsidTr="000D2E96">
              <w:tc>
                <w:tcPr>
                  <w:tcW w:w="4496" w:type="dxa"/>
                </w:tcPr>
                <w:p w14:paraId="44C5DC97" w14:textId="1D7E8B60" w:rsidR="000D2E96" w:rsidRPr="00EB32BB" w:rsidRDefault="000D2E96" w:rsidP="000D2E96">
                  <w:pPr>
                    <w:tabs>
                      <w:tab w:val="left" w:pos="171"/>
                    </w:tabs>
                    <w:spacing w:before="40" w:after="40"/>
                    <w:rPr>
                      <w:rFonts w:cs="Arial"/>
                      <w:szCs w:val="20"/>
                    </w:rPr>
                  </w:pPr>
                  <w:r>
                    <w:rPr>
                      <w:rFonts w:cs="Arial"/>
                      <w:szCs w:val="20"/>
                    </w:rPr>
                    <w:t>Initial Assessment Report</w:t>
                  </w:r>
                </w:p>
              </w:tc>
              <w:tc>
                <w:tcPr>
                  <w:tcW w:w="2563" w:type="dxa"/>
                  <w:vAlign w:val="center"/>
                </w:tcPr>
                <w:p w14:paraId="75AC6BDD" w14:textId="440705AB" w:rsidR="000D2E96" w:rsidRPr="00EB32BB" w:rsidRDefault="000D2E96" w:rsidP="000D2E96">
                  <w:pPr>
                    <w:spacing w:before="40" w:after="40"/>
                    <w:rPr>
                      <w:rFonts w:cs="Arial"/>
                      <w:szCs w:val="20"/>
                    </w:rPr>
                  </w:pPr>
                  <w:r>
                    <w:rPr>
                      <w:rFonts w:cs="Arial"/>
                      <w:szCs w:val="20"/>
                    </w:rPr>
                    <w:t>17 July 2024</w:t>
                  </w:r>
                </w:p>
              </w:tc>
            </w:tr>
            <w:tr w:rsidR="000D2E96" w:rsidRPr="00EB32BB" w14:paraId="26491A3E" w14:textId="77777777" w:rsidTr="000D2E96">
              <w:tc>
                <w:tcPr>
                  <w:tcW w:w="4496" w:type="dxa"/>
                </w:tcPr>
                <w:p w14:paraId="53CB2329" w14:textId="00F0F592" w:rsidR="000D2E96" w:rsidRPr="00EB32BB" w:rsidRDefault="000D2E96" w:rsidP="000D2E96">
                  <w:pPr>
                    <w:tabs>
                      <w:tab w:val="left" w:pos="171"/>
                    </w:tabs>
                    <w:spacing w:before="40" w:after="40"/>
                    <w:rPr>
                      <w:rFonts w:cs="Arial"/>
                      <w:szCs w:val="20"/>
                    </w:rPr>
                  </w:pPr>
                  <w:r>
                    <w:rPr>
                      <w:rFonts w:cs="Arial"/>
                      <w:szCs w:val="20"/>
                    </w:rPr>
                    <w:t>Consultation Issued to Industry Participants</w:t>
                  </w:r>
                </w:p>
              </w:tc>
              <w:tc>
                <w:tcPr>
                  <w:tcW w:w="2563" w:type="dxa"/>
                  <w:vAlign w:val="center"/>
                </w:tcPr>
                <w:p w14:paraId="3310CB04" w14:textId="388A09F5" w:rsidR="000D2E96" w:rsidRPr="00EB32BB" w:rsidRDefault="00C657ED" w:rsidP="000D2E96">
                  <w:pPr>
                    <w:spacing w:before="40" w:after="40"/>
                    <w:rPr>
                      <w:rFonts w:cs="Arial"/>
                      <w:szCs w:val="20"/>
                    </w:rPr>
                  </w:pPr>
                  <w:r>
                    <w:rPr>
                      <w:rFonts w:cs="Arial"/>
                      <w:szCs w:val="20"/>
                    </w:rPr>
                    <w:t>1</w:t>
                  </w:r>
                  <w:r w:rsidR="00450A2B">
                    <w:rPr>
                      <w:rFonts w:cs="Arial"/>
                      <w:szCs w:val="20"/>
                    </w:rPr>
                    <w:t>3</w:t>
                  </w:r>
                  <w:r>
                    <w:rPr>
                      <w:rFonts w:cs="Arial"/>
                      <w:szCs w:val="20"/>
                    </w:rPr>
                    <w:t xml:space="preserve"> September 2024</w:t>
                  </w:r>
                </w:p>
              </w:tc>
            </w:tr>
            <w:tr w:rsidR="0041589A" w:rsidRPr="00EB32BB" w14:paraId="0AFE3F11" w14:textId="77777777" w:rsidTr="000D2E96">
              <w:tc>
                <w:tcPr>
                  <w:tcW w:w="4496" w:type="dxa"/>
                </w:tcPr>
                <w:p w14:paraId="0397DFAE" w14:textId="58C644DE" w:rsidR="0041589A" w:rsidRDefault="0041589A" w:rsidP="000D2E96">
                  <w:pPr>
                    <w:tabs>
                      <w:tab w:val="left" w:pos="171"/>
                    </w:tabs>
                    <w:spacing w:before="40" w:after="40"/>
                    <w:rPr>
                      <w:rFonts w:cs="Arial"/>
                      <w:szCs w:val="20"/>
                    </w:rPr>
                  </w:pPr>
                  <w:r>
                    <w:rPr>
                      <w:rFonts w:cs="Arial"/>
                      <w:szCs w:val="20"/>
                    </w:rPr>
                    <w:t>Consultation 2 Issued to Industry Participants</w:t>
                  </w:r>
                </w:p>
              </w:tc>
              <w:tc>
                <w:tcPr>
                  <w:tcW w:w="2563" w:type="dxa"/>
                  <w:vAlign w:val="center"/>
                </w:tcPr>
                <w:p w14:paraId="746CBF92" w14:textId="12F9EBA5" w:rsidR="0041589A" w:rsidRDefault="0041589A" w:rsidP="000D2E96">
                  <w:pPr>
                    <w:spacing w:before="40" w:after="40"/>
                    <w:rPr>
                      <w:rFonts w:cs="Arial"/>
                      <w:szCs w:val="20"/>
                    </w:rPr>
                  </w:pPr>
                  <w:commentRangeStart w:id="3"/>
                  <w:r>
                    <w:rPr>
                      <w:rFonts w:cs="Arial"/>
                      <w:szCs w:val="20"/>
                    </w:rPr>
                    <w:t>TBC</w:t>
                  </w:r>
                  <w:commentRangeEnd w:id="3"/>
                  <w:r>
                    <w:rPr>
                      <w:rStyle w:val="CommentReference"/>
                      <w:rFonts w:cs="Arial"/>
                      <w:sz w:val="20"/>
                      <w:szCs w:val="20"/>
                    </w:rPr>
                    <w:commentReference w:id="3"/>
                  </w:r>
                </w:p>
              </w:tc>
            </w:tr>
            <w:tr w:rsidR="000D2E96" w:rsidRPr="00EB32BB" w14:paraId="1A063DFB" w14:textId="77777777" w:rsidTr="000D2E96">
              <w:tc>
                <w:tcPr>
                  <w:tcW w:w="4496" w:type="dxa"/>
                </w:tcPr>
                <w:p w14:paraId="5D80826E" w14:textId="2A3BA93C"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63" w:type="dxa"/>
                  <w:vAlign w:val="center"/>
                </w:tcPr>
                <w:p w14:paraId="2618A1DC" w14:textId="4B82A34A" w:rsidR="000D2E96" w:rsidRPr="00EB32BB" w:rsidRDefault="000D2E96" w:rsidP="000D2E96">
                  <w:pPr>
                    <w:spacing w:before="40" w:after="40"/>
                    <w:rPr>
                      <w:rFonts w:cs="Arial"/>
                      <w:szCs w:val="20"/>
                    </w:rPr>
                  </w:pPr>
                  <w:r>
                    <w:rPr>
                      <w:rFonts w:cs="Arial"/>
                      <w:szCs w:val="20"/>
                    </w:rPr>
                    <w:t xml:space="preserve">15 </w:t>
                  </w:r>
                  <w:r w:rsidR="0041589A">
                    <w:rPr>
                      <w:rFonts w:cs="Arial"/>
                      <w:szCs w:val="20"/>
                    </w:rPr>
                    <w:t>April</w:t>
                  </w:r>
                  <w:r>
                    <w:rPr>
                      <w:rFonts w:cs="Arial"/>
                      <w:szCs w:val="20"/>
                    </w:rPr>
                    <w:t xml:space="preserve"> 202</w:t>
                  </w:r>
                  <w:r w:rsidR="0041589A">
                    <w:rPr>
                      <w:rFonts w:cs="Arial"/>
                      <w:szCs w:val="20"/>
                    </w:rPr>
                    <w:t>6</w:t>
                  </w:r>
                </w:p>
              </w:tc>
            </w:tr>
            <w:tr w:rsidR="000D2E96" w:rsidRPr="00EB32BB" w14:paraId="71C7F010" w14:textId="77777777" w:rsidTr="000D2E96">
              <w:tc>
                <w:tcPr>
                  <w:tcW w:w="4496" w:type="dxa"/>
                </w:tcPr>
                <w:p w14:paraId="7C847D7A" w14:textId="2B1506EA"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63" w:type="dxa"/>
                  <w:vAlign w:val="center"/>
                </w:tcPr>
                <w:p w14:paraId="01CEB37A" w14:textId="71EE625F" w:rsidR="000D2E96" w:rsidRPr="00EB32BB" w:rsidRDefault="000D2E96" w:rsidP="000D2E96">
                  <w:pPr>
                    <w:spacing w:before="40" w:after="40"/>
                    <w:rPr>
                      <w:rFonts w:cs="Arial"/>
                      <w:szCs w:val="20"/>
                    </w:rPr>
                  </w:pPr>
                  <w:r>
                    <w:rPr>
                      <w:rFonts w:cs="Arial"/>
                      <w:szCs w:val="20"/>
                    </w:rPr>
                    <w:t xml:space="preserve">16 </w:t>
                  </w:r>
                  <w:r w:rsidR="0041589A">
                    <w:rPr>
                      <w:rFonts w:cs="Arial"/>
                      <w:szCs w:val="20"/>
                    </w:rPr>
                    <w:t>April</w:t>
                  </w:r>
                  <w:r>
                    <w:rPr>
                      <w:rFonts w:cs="Arial"/>
                      <w:szCs w:val="20"/>
                    </w:rPr>
                    <w:t xml:space="preserve"> 2025</w:t>
                  </w:r>
                </w:p>
              </w:tc>
            </w:tr>
            <w:tr w:rsidR="000D2E96" w:rsidRPr="00EB32BB" w14:paraId="7A57AF0F" w14:textId="77777777" w:rsidTr="000D2E96">
              <w:tc>
                <w:tcPr>
                  <w:tcW w:w="4496" w:type="dxa"/>
                </w:tcPr>
                <w:p w14:paraId="1E517E1E" w14:textId="47BDCDC2" w:rsidR="000D2E96" w:rsidRPr="00EB32BB" w:rsidRDefault="000D2E96" w:rsidP="000D2E96">
                  <w:pPr>
                    <w:tabs>
                      <w:tab w:val="left" w:pos="171"/>
                    </w:tabs>
                    <w:spacing w:before="40" w:after="40"/>
                    <w:rPr>
                      <w:rFonts w:cs="Arial"/>
                      <w:szCs w:val="20"/>
                    </w:rPr>
                  </w:pPr>
                  <w:r>
                    <w:rPr>
                      <w:rFonts w:cs="Arial"/>
                      <w:szCs w:val="20"/>
                    </w:rPr>
                    <w:t>Party Voting Closes</w:t>
                  </w:r>
                </w:p>
              </w:tc>
              <w:tc>
                <w:tcPr>
                  <w:tcW w:w="2563" w:type="dxa"/>
                  <w:vAlign w:val="center"/>
                </w:tcPr>
                <w:p w14:paraId="37600975" w14:textId="3BAA3D8C" w:rsidR="000D2E96" w:rsidRPr="00EB32BB" w:rsidRDefault="000D2E96" w:rsidP="000D2E96">
                  <w:pPr>
                    <w:spacing w:before="40" w:after="40"/>
                    <w:rPr>
                      <w:rFonts w:cs="Arial"/>
                      <w:szCs w:val="20"/>
                    </w:rPr>
                  </w:pPr>
                  <w:r>
                    <w:rPr>
                      <w:rFonts w:cs="Arial"/>
                      <w:szCs w:val="20"/>
                    </w:rPr>
                    <w:t>0</w:t>
                  </w:r>
                  <w:r w:rsidR="0041589A">
                    <w:rPr>
                      <w:rFonts w:cs="Arial"/>
                      <w:szCs w:val="20"/>
                    </w:rPr>
                    <w:t>7</w:t>
                  </w:r>
                  <w:r>
                    <w:rPr>
                      <w:rFonts w:cs="Arial"/>
                      <w:szCs w:val="20"/>
                    </w:rPr>
                    <w:t xml:space="preserve"> </w:t>
                  </w:r>
                  <w:r w:rsidR="0041589A">
                    <w:rPr>
                      <w:rFonts w:cs="Arial"/>
                      <w:szCs w:val="20"/>
                    </w:rPr>
                    <w:t>May</w:t>
                  </w:r>
                  <w:r>
                    <w:rPr>
                      <w:rFonts w:cs="Arial"/>
                      <w:szCs w:val="20"/>
                    </w:rPr>
                    <w:t xml:space="preserve"> 2025</w:t>
                  </w:r>
                </w:p>
              </w:tc>
            </w:tr>
            <w:tr w:rsidR="000D2E96" w:rsidRPr="00EB32BB" w14:paraId="15DF6514" w14:textId="77777777" w:rsidTr="000D2E96">
              <w:tc>
                <w:tcPr>
                  <w:tcW w:w="4496" w:type="dxa"/>
                </w:tcPr>
                <w:p w14:paraId="10E3BF53" w14:textId="4E01BEFE" w:rsidR="000D2E96" w:rsidRPr="00B81F70" w:rsidRDefault="000D2E96" w:rsidP="000D2E96">
                  <w:pPr>
                    <w:tabs>
                      <w:tab w:val="left" w:pos="171"/>
                    </w:tabs>
                    <w:spacing w:before="40" w:after="40"/>
                    <w:rPr>
                      <w:rFonts w:cs="Arial"/>
                      <w:szCs w:val="20"/>
                    </w:rPr>
                  </w:pPr>
                  <w:r>
                    <w:rPr>
                      <w:rFonts w:cs="Arial"/>
                      <w:szCs w:val="20"/>
                    </w:rPr>
                    <w:t>Change Declaration Issued to Parties/Authority</w:t>
                  </w:r>
                </w:p>
              </w:tc>
              <w:tc>
                <w:tcPr>
                  <w:tcW w:w="2563" w:type="dxa"/>
                  <w:vAlign w:val="center"/>
                </w:tcPr>
                <w:p w14:paraId="0C2F83C9" w14:textId="6194F96B" w:rsidR="000D2E96" w:rsidRPr="00951FDE" w:rsidRDefault="0041589A" w:rsidP="000D2E96">
                  <w:pPr>
                    <w:spacing w:before="40" w:after="40"/>
                    <w:rPr>
                      <w:rFonts w:cs="Arial"/>
                      <w:szCs w:val="20"/>
                    </w:rPr>
                  </w:pPr>
                  <w:r>
                    <w:rPr>
                      <w:rFonts w:cs="Arial"/>
                      <w:szCs w:val="20"/>
                    </w:rPr>
                    <w:t>08 May 2025</w:t>
                  </w:r>
                </w:p>
              </w:tc>
            </w:tr>
            <w:tr w:rsidR="000D2E96" w:rsidRPr="00EB32BB" w14:paraId="4EE6A383" w14:textId="77777777" w:rsidTr="000D2E96">
              <w:tc>
                <w:tcPr>
                  <w:tcW w:w="4496" w:type="dxa"/>
                </w:tcPr>
                <w:p w14:paraId="0ECD73AD" w14:textId="1629BDC7" w:rsidR="000D2E96" w:rsidRDefault="000D2E96" w:rsidP="000D2E96">
                  <w:pPr>
                    <w:tabs>
                      <w:tab w:val="left" w:pos="171"/>
                    </w:tabs>
                    <w:spacing w:before="40" w:after="40"/>
                    <w:rPr>
                      <w:rFonts w:cs="Arial"/>
                      <w:szCs w:val="20"/>
                    </w:rPr>
                  </w:pPr>
                  <w:r>
                    <w:rPr>
                      <w:rFonts w:cs="Arial"/>
                      <w:szCs w:val="20"/>
                    </w:rPr>
                    <w:t>Authority D</w:t>
                  </w:r>
                  <w:r w:rsidRPr="00EB32BB">
                    <w:rPr>
                      <w:rFonts w:cs="Arial"/>
                      <w:szCs w:val="20"/>
                    </w:rPr>
                    <w:t>ecision</w:t>
                  </w:r>
                </w:p>
              </w:tc>
              <w:tc>
                <w:tcPr>
                  <w:tcW w:w="2563" w:type="dxa"/>
                  <w:vAlign w:val="center"/>
                </w:tcPr>
                <w:p w14:paraId="7ADB6CB7" w14:textId="5A622FBE" w:rsidR="000D2E96" w:rsidRDefault="000D2E96" w:rsidP="000D2E96">
                  <w:pPr>
                    <w:spacing w:before="40" w:after="40"/>
                    <w:rPr>
                      <w:rFonts w:cs="Arial"/>
                      <w:szCs w:val="20"/>
                    </w:rPr>
                  </w:pPr>
                  <w:r>
                    <w:rPr>
                      <w:rFonts w:cs="Arial"/>
                      <w:szCs w:val="20"/>
                    </w:rPr>
                    <w:t>TBC</w:t>
                  </w:r>
                </w:p>
              </w:tc>
            </w:tr>
          </w:tbl>
          <w:p w14:paraId="36356671" w14:textId="77777777" w:rsidR="000D2E96" w:rsidRPr="00EB32BB" w:rsidRDefault="000D2E96" w:rsidP="000D2E96">
            <w:pPr>
              <w:pStyle w:val="BodyTextFirstIndent"/>
              <w:ind w:firstLine="0"/>
              <w:rPr>
                <w:rFonts w:cs="Arial"/>
              </w:rPr>
            </w:pPr>
          </w:p>
        </w:tc>
        <w:tc>
          <w:tcPr>
            <w:tcW w:w="1599" w:type="pct"/>
            <w:tcBorders>
              <w:top w:val="single" w:sz="4" w:space="0" w:color="4A8958"/>
              <w:left w:val="single" w:sz="4" w:space="0" w:color="4A8958"/>
              <w:bottom w:val="single" w:sz="4" w:space="0" w:color="4A8958"/>
              <w:right w:val="single" w:sz="4" w:space="0" w:color="4A8958"/>
            </w:tcBorders>
          </w:tcPr>
          <w:p w14:paraId="39A7BD0A" w14:textId="4B9A0C28" w:rsidR="000D2E96" w:rsidRPr="00EB32BB" w:rsidRDefault="000D2E96" w:rsidP="000D2E96">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0D2E96" w:rsidRPr="004C291F" w14:paraId="60B52B82" w14:textId="77777777" w:rsidTr="000D2E96">
        <w:trPr>
          <w:trHeight w:val="615"/>
        </w:trPr>
        <w:tc>
          <w:tcPr>
            <w:tcW w:w="3401" w:type="pct"/>
            <w:vMerge/>
            <w:tcBorders>
              <w:right w:val="single" w:sz="4" w:space="0" w:color="70AD47" w:themeColor="accent6"/>
            </w:tcBorders>
          </w:tcPr>
          <w:p w14:paraId="2F79E59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17EE8A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Contact:</w:t>
            </w:r>
          </w:p>
          <w:p w14:paraId="798E3C88" w14:textId="7CB140BC" w:rsidR="000D2E96" w:rsidRPr="004C291F" w:rsidRDefault="000D2E96" w:rsidP="000D2E96">
            <w:pPr>
              <w:pStyle w:val="BodyText"/>
              <w:spacing w:before="60" w:after="60" w:line="240" w:lineRule="auto"/>
              <w:rPr>
                <w:rFonts w:cs="Arial"/>
                <w:color w:val="008576"/>
                <w:szCs w:val="20"/>
              </w:rPr>
            </w:pPr>
            <w:r w:rsidRPr="00EB32BB">
              <w:rPr>
                <w:rFonts w:cs="Arial"/>
                <w:b/>
                <w:color w:val="008576"/>
                <w:szCs w:val="20"/>
              </w:rPr>
              <w:t>Code Administrator</w:t>
            </w:r>
          </w:p>
        </w:tc>
      </w:tr>
      <w:tr w:rsidR="000D2E96" w:rsidRPr="004C291F" w14:paraId="3EDAA3DC" w14:textId="77777777" w:rsidTr="000D2E96">
        <w:trPr>
          <w:trHeight w:val="615"/>
        </w:trPr>
        <w:tc>
          <w:tcPr>
            <w:tcW w:w="3401" w:type="pct"/>
            <w:vMerge/>
            <w:tcBorders>
              <w:right w:val="single" w:sz="4" w:space="0" w:color="70AD47" w:themeColor="accent6"/>
            </w:tcBorders>
          </w:tcPr>
          <w:p w14:paraId="21530F0B"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A74D34B" w14:textId="19BD5F9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0D2E96" w:rsidRPr="004C291F" w14:paraId="26C07B10" w14:textId="77777777" w:rsidTr="000D2E96">
        <w:trPr>
          <w:trHeight w:val="615"/>
        </w:trPr>
        <w:tc>
          <w:tcPr>
            <w:tcW w:w="3401" w:type="pct"/>
            <w:vMerge/>
            <w:tcBorders>
              <w:right w:val="single" w:sz="4" w:space="0" w:color="70AD47" w:themeColor="accent6"/>
            </w:tcBorders>
          </w:tcPr>
          <w:p w14:paraId="64CD10E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2A0F446B" w14:textId="3D636D70"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0D2E96" w:rsidRPr="004C291F" w14:paraId="741C2432" w14:textId="77777777" w:rsidTr="000D2E96">
        <w:trPr>
          <w:trHeight w:val="615"/>
        </w:trPr>
        <w:tc>
          <w:tcPr>
            <w:tcW w:w="3401" w:type="pct"/>
            <w:vMerge/>
            <w:tcBorders>
              <w:right w:val="single" w:sz="4" w:space="0" w:color="70AD47" w:themeColor="accent6"/>
            </w:tcBorders>
          </w:tcPr>
          <w:p w14:paraId="413DE5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C91DDF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Proposer:</w:t>
            </w:r>
          </w:p>
          <w:p w14:paraId="0CB0C256" w14:textId="52FE33F0" w:rsidR="000D2E96" w:rsidRPr="004C291F" w:rsidRDefault="000D2E96" w:rsidP="000D2E96">
            <w:pPr>
              <w:spacing w:before="60" w:after="60" w:line="240" w:lineRule="auto"/>
              <w:rPr>
                <w:rFonts w:cs="Arial"/>
                <w:color w:val="008576"/>
                <w:szCs w:val="20"/>
              </w:rPr>
            </w:pPr>
            <w:r>
              <w:rPr>
                <w:rFonts w:cs="Arial"/>
                <w:b/>
                <w:color w:val="008576"/>
                <w:szCs w:val="20"/>
              </w:rPr>
              <w:t>Peter Waymont</w:t>
            </w:r>
          </w:p>
        </w:tc>
      </w:tr>
      <w:tr w:rsidR="000D2E96" w:rsidRPr="004C291F" w14:paraId="48F883BB" w14:textId="77777777" w:rsidTr="000D2E96">
        <w:trPr>
          <w:trHeight w:val="615"/>
        </w:trPr>
        <w:tc>
          <w:tcPr>
            <w:tcW w:w="3401" w:type="pct"/>
            <w:vMerge/>
            <w:tcBorders>
              <w:right w:val="single" w:sz="4" w:space="0" w:color="70AD47" w:themeColor="accent6"/>
            </w:tcBorders>
          </w:tcPr>
          <w:p w14:paraId="76A592E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49011111" w14:textId="1BD0A47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 xml:space="preserve">peter.waymont@ukpowernetworks.co.uk          </w:t>
            </w:r>
          </w:p>
        </w:tc>
      </w:tr>
      <w:tr w:rsidR="000D2E96" w:rsidRPr="004C291F" w14:paraId="30BF5D31" w14:textId="77777777" w:rsidTr="000D2E96">
        <w:trPr>
          <w:trHeight w:val="615"/>
        </w:trPr>
        <w:tc>
          <w:tcPr>
            <w:tcW w:w="3401" w:type="pct"/>
            <w:vMerge/>
            <w:tcBorders>
              <w:right w:val="single" w:sz="4" w:space="0" w:color="70AD47" w:themeColor="accent6"/>
            </w:tcBorders>
          </w:tcPr>
          <w:p w14:paraId="00E26C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315F5151" w14:textId="175572D3"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422D7C7" wp14:editId="07BCBFF1">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+44 1293 657939</w:t>
            </w:r>
          </w:p>
        </w:tc>
      </w:tr>
      <w:tr w:rsidR="00FC72D5" w:rsidRPr="004C291F" w14:paraId="1B76C396" w14:textId="77777777" w:rsidTr="000D2E96">
        <w:trPr>
          <w:trHeight w:val="615"/>
        </w:trPr>
        <w:tc>
          <w:tcPr>
            <w:tcW w:w="3401" w:type="pct"/>
            <w:vMerge/>
            <w:tcBorders>
              <w:right w:val="single" w:sz="4" w:space="0" w:color="70AD47" w:themeColor="accent6"/>
            </w:tcBorders>
          </w:tcPr>
          <w:p w14:paraId="3866EAF1" w14:textId="77777777" w:rsidR="00FC72D5" w:rsidRPr="00EB32BB" w:rsidRDefault="00FC72D5">
            <w:pPr>
              <w:pStyle w:val="Contents01"/>
              <w:keepNext w:val="0"/>
              <w:rPr>
                <w:noProof/>
              </w:rPr>
            </w:pPr>
          </w:p>
        </w:tc>
        <w:tc>
          <w:tcPr>
            <w:tcW w:w="1599"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pPr>
              <w:pStyle w:val="BodyText"/>
              <w:spacing w:after="60" w:line="240" w:lineRule="auto"/>
              <w:rPr>
                <w:rFonts w:cs="Arial"/>
                <w:color w:val="008576"/>
                <w:szCs w:val="20"/>
              </w:rPr>
            </w:pPr>
          </w:p>
        </w:tc>
      </w:tr>
      <w:tr w:rsidR="00FC72D5" w:rsidRPr="004C291F" w14:paraId="3630D609" w14:textId="77777777" w:rsidTr="000D2E96">
        <w:trPr>
          <w:trHeight w:val="492"/>
        </w:trPr>
        <w:tc>
          <w:tcPr>
            <w:tcW w:w="3401" w:type="pct"/>
            <w:vMerge/>
            <w:tcBorders>
              <w:right w:val="single" w:sz="4" w:space="0" w:color="70AD47" w:themeColor="accent6"/>
            </w:tcBorders>
          </w:tcPr>
          <w:p w14:paraId="363A0E43"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pPr>
              <w:pStyle w:val="BodyText"/>
              <w:spacing w:before="60" w:after="60"/>
              <w:rPr>
                <w:rFonts w:cs="Arial"/>
                <w:color w:val="008576"/>
                <w:szCs w:val="20"/>
              </w:rPr>
            </w:pPr>
          </w:p>
        </w:tc>
      </w:tr>
      <w:tr w:rsidR="00FC72D5" w:rsidRPr="00EB32BB" w14:paraId="051780E4" w14:textId="77777777" w:rsidTr="000D2E96">
        <w:trPr>
          <w:trHeight w:val="492"/>
        </w:trPr>
        <w:tc>
          <w:tcPr>
            <w:tcW w:w="3401" w:type="pct"/>
            <w:vMerge/>
            <w:tcBorders>
              <w:right w:val="single" w:sz="4" w:space="0" w:color="70AD47" w:themeColor="accent6"/>
            </w:tcBorders>
          </w:tcPr>
          <w:p w14:paraId="0A8FEDAA"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pPr>
              <w:pStyle w:val="BodyText"/>
              <w:spacing w:before="60" w:after="60"/>
              <w:rPr>
                <w:rFonts w:cs="Arial"/>
                <w:b/>
                <w:noProof/>
                <w:color w:val="008576"/>
                <w:szCs w:val="20"/>
                <w:lang w:val="en-US" w:eastAsia="en-US"/>
              </w:rPr>
            </w:pPr>
          </w:p>
        </w:tc>
      </w:tr>
      <w:tr w:rsidR="00FC72D5" w:rsidRPr="00EB32BB" w14:paraId="5456B64E" w14:textId="77777777" w:rsidTr="000D2E96">
        <w:trPr>
          <w:trHeight w:val="3283"/>
        </w:trPr>
        <w:tc>
          <w:tcPr>
            <w:tcW w:w="3401" w:type="pct"/>
            <w:vMerge/>
            <w:tcBorders>
              <w:right w:val="single" w:sz="4" w:space="0" w:color="70AD47" w:themeColor="accent6"/>
            </w:tcBorders>
          </w:tcPr>
          <w:p w14:paraId="71B867D1"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tcBorders>
          </w:tcPr>
          <w:p w14:paraId="4A73B795" w14:textId="77777777" w:rsidR="00FC72D5" w:rsidRPr="00EB32BB" w:rsidRDefault="00FC72D5">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370BE5">
      <w:pPr>
        <w:pStyle w:val="Heading02"/>
      </w:pPr>
      <w:bookmarkStart w:id="4" w:name="_Toc188527263"/>
      <w:bookmarkStart w:id="5" w:name="_Toc318962133"/>
      <w:bookmarkStart w:id="6" w:name="_Toc453107796"/>
      <w:bookmarkStart w:id="7" w:name="_Toc177119166"/>
      <w:r w:rsidRPr="00882F64">
        <w:lastRenderedPageBreak/>
        <w:t>Summary</w:t>
      </w:r>
      <w:bookmarkEnd w:id="4"/>
      <w:bookmarkEnd w:id="5"/>
      <w:bookmarkEnd w:id="6"/>
      <w:bookmarkEnd w:id="7"/>
    </w:p>
    <w:p w14:paraId="7171E6E1" w14:textId="77777777" w:rsidR="0012717A" w:rsidRDefault="0012717A" w:rsidP="00370BE5">
      <w:pPr>
        <w:pStyle w:val="Heading4"/>
      </w:pPr>
      <w:bookmarkStart w:id="8" w:name="_Toc318962134"/>
      <w:r w:rsidRPr="004C6117">
        <w:t>What</w:t>
      </w:r>
      <w:r w:rsidR="00766A3F">
        <w:t>?</w:t>
      </w:r>
    </w:p>
    <w:p w14:paraId="1155F8FE" w14:textId="4F2169A5" w:rsidR="000D2E96" w:rsidRPr="00B81D8E" w:rsidRDefault="000D2E96" w:rsidP="000D2E96">
      <w:pPr>
        <w:pStyle w:val="Heading2"/>
      </w:pPr>
      <w:r>
        <w:t>To amend the CDC</w:t>
      </w:r>
      <w:r w:rsidR="006606BC">
        <w:t>M and EDCM</w:t>
      </w:r>
      <w:r>
        <w:t xml:space="preserve"> such that excess capacity charges are set in order to </w:t>
      </w:r>
      <w:r w:rsidR="003259F7">
        <w:t>incentivise</w:t>
      </w:r>
      <w:r>
        <w:t xml:space="preserve"> the correct customer behaviours.</w:t>
      </w:r>
    </w:p>
    <w:p w14:paraId="2A3DDB00" w14:textId="77777777" w:rsidR="000D2E96" w:rsidRPr="000D2E96" w:rsidRDefault="000D2E96" w:rsidP="000D2E96">
      <w:pPr>
        <w:pStyle w:val="Heading4"/>
        <w:rPr>
          <w:i/>
          <w:iCs/>
        </w:rPr>
      </w:pPr>
      <w:r w:rsidRPr="000D2E96">
        <w:rPr>
          <w:rStyle w:val="Emphasis"/>
          <w:rFonts w:eastAsia="MS Gothic"/>
          <w:i w:val="0"/>
          <w:color w:val="008576"/>
        </w:rPr>
        <w:t>Why?</w:t>
      </w:r>
    </w:p>
    <w:p w14:paraId="220767B8" w14:textId="77777777" w:rsidR="000D2E96" w:rsidRPr="000115D4" w:rsidRDefault="000D2E96" w:rsidP="000D2E96">
      <w:pPr>
        <w:pStyle w:val="Heading2"/>
      </w:pPr>
      <w:r>
        <w:t>Customer behaviour may be sub-optimal as a result of the existing processes.</w:t>
      </w:r>
    </w:p>
    <w:p w14:paraId="1122B3B8" w14:textId="77777777" w:rsidR="000D2E96" w:rsidRPr="000115D4" w:rsidRDefault="000D2E96" w:rsidP="000D2E96">
      <w:pPr>
        <w:pStyle w:val="Heading4"/>
        <w:rPr>
          <w:rStyle w:val="IntenseEmphasis"/>
          <w:rFonts w:eastAsia="MS Gothic"/>
          <w:iCs/>
        </w:rPr>
      </w:pPr>
      <w:r w:rsidRPr="004C6117">
        <w:t>How</w:t>
      </w:r>
      <w:r>
        <w:t>?</w:t>
      </w:r>
    </w:p>
    <w:p w14:paraId="71E8D18C" w14:textId="7E6148B7" w:rsidR="0041589A" w:rsidRDefault="00BB618A" w:rsidP="0041589A">
      <w:pPr>
        <w:pStyle w:val="Heading2"/>
      </w:pPr>
      <w:r w:rsidRPr="00BB618A">
        <w:t>Based on the DCP 443 consultation document and</w:t>
      </w:r>
      <w:r w:rsidR="00875A34">
        <w:t xml:space="preserve"> RFI</w:t>
      </w:r>
      <w:r w:rsidRPr="00BB618A">
        <w:t xml:space="preserve"> responses, the Working Group considered three broad approaches to addressing the loss of the excess capacity charging signal</w:t>
      </w:r>
      <w:r w:rsidR="0041589A">
        <w:t>.</w:t>
      </w:r>
    </w:p>
    <w:p w14:paraId="51DDFDE5" w14:textId="628ADDB5" w:rsidR="001019BE" w:rsidRPr="001019BE" w:rsidRDefault="00BB618A" w:rsidP="001019BE">
      <w:pPr>
        <w:rPr>
          <w:b/>
          <w:bCs/>
        </w:rPr>
      </w:pPr>
      <w:r w:rsidRPr="00BB618A">
        <w:rPr>
          <w:b/>
          <w:bCs/>
        </w:rPr>
        <w:t>Option A – 12-Month Maximum Demand (MD) Charging</w:t>
      </w:r>
    </w:p>
    <w:p w14:paraId="08F7BF4E" w14:textId="4C62141B" w:rsidR="00BB618A" w:rsidRPr="00BB618A" w:rsidRDefault="001019BE" w:rsidP="001019BE">
      <w:pPr>
        <w:pStyle w:val="Heading2"/>
      </w:pPr>
      <w:r>
        <w:t>Under this option, if a customer exceeds its MIC, the excess capacity charge would be based on the highest Maximum Demand recorded in the preceding 12 months. Rather than paying an excess charge only in the month of the breach, the customer could continue to pay excess capacity charges for up to 12 months following the exceedance. The intention is to create a stronger and longer-lasting financial signal that customers should secure sufficient contracted capacity rather than routinely exceed it. The Working Group notes that a variation of this approach was used by some DNOs before the introduction of the CDCM</w:t>
      </w:r>
      <w:r w:rsidR="00BB618A" w:rsidRPr="00BB618A">
        <w:t>.</w:t>
      </w:r>
    </w:p>
    <w:p w14:paraId="03DF580F" w14:textId="77777777" w:rsidR="001019BE" w:rsidRPr="001019BE" w:rsidRDefault="00BB618A" w:rsidP="001019BE">
      <w:pPr>
        <w:rPr>
          <w:b/>
          <w:bCs/>
        </w:rPr>
      </w:pPr>
      <w:r w:rsidRPr="00BB618A">
        <w:rPr>
          <w:b/>
          <w:bCs/>
        </w:rPr>
        <w:t xml:space="preserve">Option B – </w:t>
      </w:r>
      <w:r w:rsidR="001019BE" w:rsidRPr="001019BE">
        <w:rPr>
          <w:b/>
          <w:bCs/>
        </w:rPr>
        <w:t>Differential Tariff / Multiplier Approach</w:t>
      </w:r>
    </w:p>
    <w:p w14:paraId="35A4A3FD" w14:textId="43FB886C" w:rsidR="001019BE" w:rsidRPr="001019BE" w:rsidRDefault="001019BE" w:rsidP="001019BE">
      <w:pPr>
        <w:pStyle w:val="Heading2"/>
      </w:pPr>
      <w:r w:rsidRPr="001019BE">
        <w:t>This option would reintroduce a price differential between the normal capacity charge and the excess capacity charge. One example discussed by the Working Group is to set the excess capacity charge at approximately double the standard capacity charge, reflecting the sort of differential that existed when customer contributions formed part of the charging methodology. This approach is attractive because it is simple to understand and implement, with limited systems impact, although stakeholders have raised questions around whether the resulting charge would be sufficiently cost-reflective.</w:t>
      </w:r>
    </w:p>
    <w:p w14:paraId="682114FB" w14:textId="77777777" w:rsidR="001019BE" w:rsidRPr="001019BE" w:rsidRDefault="00BB618A" w:rsidP="001019BE">
      <w:pPr>
        <w:rPr>
          <w:b/>
          <w:bCs/>
        </w:rPr>
      </w:pPr>
      <w:r w:rsidRPr="00BB618A">
        <w:rPr>
          <w:b/>
          <w:bCs/>
        </w:rPr>
        <w:t xml:space="preserve">Option C – </w:t>
      </w:r>
      <w:r w:rsidR="001019BE" w:rsidRPr="001019BE">
        <w:rPr>
          <w:b/>
          <w:bCs/>
        </w:rPr>
        <w:t>Model-Integrated Differential Approach</w:t>
      </w:r>
    </w:p>
    <w:p w14:paraId="78045685" w14:textId="3F560988" w:rsidR="001019BE" w:rsidRDefault="001019BE" w:rsidP="001019BE">
      <w:pPr>
        <w:pStyle w:val="Heading2"/>
      </w:pPr>
      <w:r w:rsidRPr="001019BE">
        <w:t xml:space="preserve">The Working Group also explored a more fundamental methodology-based solution that would build the excess capacity signal directly into the charging models rather than applying an arbitrary multiplier. This would seek to maintain consistency with the CDCM charging principles and derive a cost-reflective excess capacity charge through the charging model itself. Whilst potentially more sophisticated and economically justified, it would be more complex to develop and implement than the multiplier approach. The consultation notes that this would provide greater </w:t>
      </w:r>
      <w:r w:rsidRPr="001019BE">
        <w:lastRenderedPageBreak/>
        <w:t>methodological consistency, whereas the multiplier approach provides simplicity and a stronger behavioural signal</w:t>
      </w:r>
      <w:r>
        <w:t>.</w:t>
      </w:r>
    </w:p>
    <w:p w14:paraId="57BB897C" w14:textId="77777777" w:rsidR="001019BE" w:rsidRPr="001019BE" w:rsidRDefault="001019BE" w:rsidP="001019BE"/>
    <w:p w14:paraId="20CC4B8C" w14:textId="77777777" w:rsidR="00E6212D" w:rsidRPr="00882F64" w:rsidRDefault="00E6212D" w:rsidP="00370BE5">
      <w:pPr>
        <w:pStyle w:val="Heading02"/>
      </w:pPr>
      <w:bookmarkStart w:id="9" w:name="_Toc453107797"/>
      <w:bookmarkStart w:id="10" w:name="_Toc177119167"/>
      <w:r w:rsidRPr="00882F64">
        <w:t>Governance</w:t>
      </w:r>
      <w:bookmarkEnd w:id="8"/>
      <w:bookmarkEnd w:id="9"/>
      <w:bookmarkEnd w:id="10"/>
    </w:p>
    <w:p w14:paraId="3CBD91E7" w14:textId="6B70082E" w:rsidR="007D5BA8" w:rsidRDefault="00BA5499" w:rsidP="00370BE5">
      <w:pPr>
        <w:pStyle w:val="Heading2"/>
        <w:keepNext w:val="0"/>
      </w:pPr>
      <w:r w:rsidRPr="00BA5499">
        <w:t>This CP satisfies the criteria for a Part 1 Matter</w:t>
      </w:r>
      <w:r w:rsidR="00C2500C" w:rsidRPr="00C2500C">
        <w:t xml:space="preserve"> </w:t>
      </w:r>
      <w:r w:rsidR="00C2500C">
        <w:t>as it impacts the methodologies</w:t>
      </w:r>
      <w:r w:rsidR="00E50A06" w:rsidRPr="006D3676">
        <w:t>.</w:t>
      </w:r>
    </w:p>
    <w:p w14:paraId="03127BDC" w14:textId="77777777" w:rsidR="00875A34" w:rsidRDefault="00875A34" w:rsidP="00875A34">
      <w:pPr>
        <w:pStyle w:val="Heading4"/>
        <w:rPr>
          <w:b w:val="0"/>
          <w:iCs/>
          <w:color w:val="FF0000"/>
          <w:szCs w:val="20"/>
        </w:rPr>
      </w:pPr>
      <w:r>
        <w:t>Requested Next Steps</w:t>
      </w:r>
    </w:p>
    <w:p w14:paraId="77264B8F" w14:textId="77777777" w:rsidR="00875A34" w:rsidRPr="00AB7BD7" w:rsidRDefault="00875A34" w:rsidP="00875A34">
      <w:pPr>
        <w:pStyle w:val="Heading2"/>
        <w:rPr>
          <w:i/>
          <w:color w:val="00B274"/>
        </w:rPr>
      </w:pPr>
      <w:r w:rsidRPr="00AB7BD7">
        <w:t>This Change Proposal should:</w:t>
      </w:r>
    </w:p>
    <w:p w14:paraId="132DA657"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Part 1 Matter;</w:t>
      </w:r>
    </w:p>
    <w:p w14:paraId="595305AF"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Standard Change; and</w:t>
      </w:r>
    </w:p>
    <w:p w14:paraId="6230BEBE" w14:textId="6884ABB3" w:rsidR="00875A34" w:rsidRPr="00875A34"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Proceed to the Working Group phase.</w:t>
      </w:r>
    </w:p>
    <w:p w14:paraId="7C400AB8" w14:textId="161B7077" w:rsidR="006A55F8" w:rsidRDefault="006B6905" w:rsidP="006A55F8">
      <w:pPr>
        <w:pStyle w:val="Heading2"/>
        <w:keepNext w:val="0"/>
      </w:pPr>
      <w:bookmarkStart w:id="11" w:name="_Toc318962135"/>
      <w:bookmarkStart w:id="12" w:name="_Toc453107798"/>
      <w:r w:rsidRPr="006B6905">
        <w:t xml:space="preserve">This </w:t>
      </w:r>
      <w:r>
        <w:t>c</w:t>
      </w:r>
      <w:r w:rsidRPr="006B6905">
        <w:t xml:space="preserve">onsultation is issued for a period of </w:t>
      </w:r>
      <w:r w:rsidR="00406FCA">
        <w:t>15 working days</w:t>
      </w:r>
      <w:r w:rsidRPr="006B6905">
        <w:t>. The Working Group will review the responses after this period.</w:t>
      </w:r>
    </w:p>
    <w:p w14:paraId="5EAB3254" w14:textId="77777777" w:rsidR="004C6117" w:rsidRPr="00882F64" w:rsidRDefault="004C6117" w:rsidP="00370BE5">
      <w:pPr>
        <w:pStyle w:val="Heading02"/>
      </w:pPr>
      <w:bookmarkStart w:id="13" w:name="_Toc177119168"/>
      <w:r w:rsidRPr="00882F64">
        <w:t>Why Change?</w:t>
      </w:r>
      <w:bookmarkEnd w:id="11"/>
      <w:bookmarkEnd w:id="12"/>
      <w:bookmarkEnd w:id="13"/>
    </w:p>
    <w:p w14:paraId="52A07A14" w14:textId="43CE6920" w:rsidR="00FA3711" w:rsidRPr="00100F23" w:rsidRDefault="00292407" w:rsidP="00FA3711">
      <w:pPr>
        <w:pStyle w:val="Heading2"/>
        <w:rPr>
          <w:i/>
        </w:rPr>
      </w:pPr>
      <w:r>
        <w:t xml:space="preserve">Under the CDCM (Schedule 16 of the DCUSA) </w:t>
      </w:r>
      <w:r w:rsidR="002C357F">
        <w:t xml:space="preserve">and EDCM (Schedule 17 and 18 of the DCUSA) </w:t>
      </w:r>
      <w:r>
        <w:t xml:space="preserve">sites that are billed on a </w:t>
      </w:r>
      <w:r w:rsidR="00A15132">
        <w:t>site-specific</w:t>
      </w:r>
      <w:r>
        <w:t xml:space="preserve"> basis receive capacity charges based on their Maximum Import Capacity (MIC)</w:t>
      </w:r>
      <w:r w:rsidR="009A3A21">
        <w:t xml:space="preserve">/Maximum Export Capacity (MEC) </w:t>
      </w:r>
      <w:r>
        <w:t>and their maximum demand</w:t>
      </w:r>
      <w:r w:rsidR="009A3A21">
        <w:t>:</w:t>
      </w:r>
      <w:r w:rsidR="00FA3711">
        <w:t xml:space="preserve"> </w:t>
      </w:r>
    </w:p>
    <w:p w14:paraId="359CF4D5" w14:textId="189BD96B" w:rsidR="009A3A21" w:rsidRPr="00100F23" w:rsidRDefault="009A3A21" w:rsidP="00100F23">
      <w:pPr>
        <w:autoSpaceDE w:val="0"/>
        <w:autoSpaceDN w:val="0"/>
        <w:adjustRightInd w:val="0"/>
        <w:spacing w:before="0" w:after="0" w:line="240" w:lineRule="auto"/>
        <w:ind w:firstLine="576"/>
        <w:rPr>
          <w:rFonts w:cs="Arial"/>
          <w:bCs/>
          <w:iCs/>
          <w:szCs w:val="20"/>
        </w:rPr>
      </w:pPr>
      <w:r w:rsidRPr="00100F23">
        <w:rPr>
          <w:rFonts w:cs="Arial"/>
          <w:bCs/>
          <w:iCs/>
          <w:szCs w:val="20"/>
        </w:rPr>
        <w:t>(a) a capacity charge, pence/kilovolt-ampere(kVA)/day, for Maximum Import</w:t>
      </w:r>
    </w:p>
    <w:p w14:paraId="61695729" w14:textId="77777777" w:rsidR="009A3A21" w:rsidRPr="00100F23" w:rsidRDefault="009A3A21" w:rsidP="00100F23">
      <w:pPr>
        <w:autoSpaceDE w:val="0"/>
        <w:autoSpaceDN w:val="0"/>
        <w:adjustRightInd w:val="0"/>
        <w:spacing w:before="0" w:after="0" w:line="240" w:lineRule="auto"/>
        <w:ind w:firstLine="567"/>
        <w:rPr>
          <w:rFonts w:cs="Arial"/>
          <w:bCs/>
          <w:iCs/>
          <w:szCs w:val="20"/>
        </w:rPr>
      </w:pPr>
      <w:r w:rsidRPr="00100F23">
        <w:rPr>
          <w:rFonts w:cs="Arial"/>
          <w:bCs/>
          <w:iCs/>
          <w:szCs w:val="20"/>
        </w:rPr>
        <w:t>Capacity (MIC) and/or Maximum Export Capacity (MEC);</w:t>
      </w:r>
    </w:p>
    <w:p w14:paraId="01C899D5" w14:textId="0A4F0B18" w:rsidR="00292407" w:rsidRDefault="009A3A21" w:rsidP="00100F23">
      <w:pPr>
        <w:pStyle w:val="Heading2"/>
        <w:numPr>
          <w:ilvl w:val="0"/>
          <w:numId w:val="0"/>
        </w:numPr>
        <w:ind w:left="567"/>
      </w:pPr>
      <w:r w:rsidRPr="00100F23">
        <w:t>(b) an excess capacity charge, pence/kVA/day, if a site exceeds its MIC/MEC</w:t>
      </w:r>
      <w:r>
        <w:t>.</w:t>
      </w:r>
    </w:p>
    <w:p w14:paraId="6818FB02" w14:textId="0D055213" w:rsidR="00FA3711" w:rsidRDefault="00FA3711" w:rsidP="00FA3711">
      <w:pPr>
        <w:pStyle w:val="Heading2"/>
      </w:pPr>
      <w:r>
        <w:t>Excess capacity charges are described in the DNOs’ Use of System Charging Statement:</w:t>
      </w:r>
    </w:p>
    <w:p w14:paraId="1C0D0415" w14:textId="09192C32" w:rsidR="00292407" w:rsidRPr="001019BE" w:rsidRDefault="00FA3711" w:rsidP="001019BE">
      <w:pPr>
        <w:ind w:left="567"/>
        <w:rPr>
          <w:i/>
          <w:iCs/>
        </w:rPr>
      </w:pPr>
      <w:r>
        <w:rPr>
          <w:i/>
          <w:iCs/>
        </w:rPr>
        <w:t>“</w:t>
      </w:r>
      <w:r w:rsidRPr="00577FCD">
        <w:rPr>
          <w:i/>
          <w:iCs/>
        </w:rPr>
        <w:t xml:space="preserve">Where a </w:t>
      </w:r>
      <w:r w:rsidR="00A15132" w:rsidRPr="00577FCD">
        <w:rPr>
          <w:i/>
          <w:iCs/>
        </w:rPr>
        <w:t>customer</w:t>
      </w:r>
      <w:r w:rsidRPr="00577FCD">
        <w:rPr>
          <w:i/>
          <w:iCs/>
        </w:rPr>
        <w:t xml:space="preserve"> takes additional, unauthorised capacity over and above the</w:t>
      </w:r>
      <w:r>
        <w:rPr>
          <w:i/>
          <w:iCs/>
        </w:rPr>
        <w:t xml:space="preserve"> </w:t>
      </w:r>
      <w:r w:rsidRPr="00577FCD">
        <w:rPr>
          <w:i/>
          <w:iCs/>
        </w:rPr>
        <w:t>MIC/MEC, the excess will be classed as exceeded capacity. The exceeded portion of</w:t>
      </w:r>
      <w:r>
        <w:rPr>
          <w:i/>
          <w:iCs/>
        </w:rPr>
        <w:t xml:space="preserve"> </w:t>
      </w:r>
      <w:r w:rsidRPr="00577FCD">
        <w:rPr>
          <w:i/>
          <w:iCs/>
        </w:rPr>
        <w:t>the capacity will be charged at the excess capacity charge p/kVA/day rate, based on</w:t>
      </w:r>
      <w:r>
        <w:rPr>
          <w:i/>
          <w:iCs/>
        </w:rPr>
        <w:t xml:space="preserve"> </w:t>
      </w:r>
      <w:r w:rsidRPr="00577FCD">
        <w:rPr>
          <w:i/>
          <w:iCs/>
        </w:rPr>
        <w:t>the difference between the MIC/MEC and the actual capacity used. This will be</w:t>
      </w:r>
      <w:r>
        <w:rPr>
          <w:i/>
          <w:iCs/>
        </w:rPr>
        <w:t xml:space="preserve"> </w:t>
      </w:r>
      <w:r w:rsidRPr="00577FCD">
        <w:rPr>
          <w:i/>
          <w:iCs/>
        </w:rPr>
        <w:t>charged for the full duration of the billing period in which the breach occurs.</w:t>
      </w:r>
      <w:r>
        <w:rPr>
          <w:i/>
          <w:iCs/>
        </w:rPr>
        <w:t>”</w:t>
      </w:r>
    </w:p>
    <w:p w14:paraId="2C3F8B35" w14:textId="21052D79" w:rsidR="002C357F" w:rsidRPr="002C357F" w:rsidRDefault="002C357F" w:rsidP="002C357F">
      <w:pPr>
        <w:pStyle w:val="Heading2"/>
        <w:ind w:left="567" w:hanging="567"/>
      </w:pPr>
      <w:r>
        <w:lastRenderedPageBreak/>
        <w:t xml:space="preserve">For designated EHV sites, charged under the EDCM, </w:t>
      </w:r>
      <w:r w:rsidR="009A3A21">
        <w:t>the capacity</w:t>
      </w:r>
      <w:r>
        <w:t xml:space="preserve"> </w:t>
      </w:r>
      <w:r w:rsidR="009A3A21">
        <w:t xml:space="preserve">tariff </w:t>
      </w:r>
      <w:r>
        <w:t>and excess capacity tariff</w:t>
      </w:r>
      <w:r w:rsidR="009A3A21">
        <w:t xml:space="preserve"> are equal</w:t>
      </w:r>
      <w:r>
        <w:t>.</w:t>
      </w:r>
    </w:p>
    <w:p w14:paraId="1CB8F211" w14:textId="189C4431" w:rsidR="00292407" w:rsidRDefault="00292407" w:rsidP="00100F23">
      <w:pPr>
        <w:pStyle w:val="Heading2"/>
        <w:ind w:left="567" w:hanging="567"/>
      </w:pPr>
      <w:r>
        <w:t>From the introduction of the CDCM</w:t>
      </w:r>
      <w:r w:rsidR="00365093">
        <w:t xml:space="preserve"> in 2010/11</w:t>
      </w:r>
      <w:r>
        <w:t xml:space="preserve"> until 20</w:t>
      </w:r>
      <w:r w:rsidR="00365093">
        <w:t>17</w:t>
      </w:r>
      <w:r>
        <w:t>/</w:t>
      </w:r>
      <w:r w:rsidR="00365093">
        <w:t>18</w:t>
      </w:r>
      <w:r>
        <w:t xml:space="preserve"> the </w:t>
      </w:r>
      <w:r w:rsidR="009A3A21">
        <w:t>capacity tariff</w:t>
      </w:r>
      <w:r>
        <w:t xml:space="preserve"> and the excess capacity </w:t>
      </w:r>
      <w:r w:rsidR="009A3A21">
        <w:t>tariff were equal</w:t>
      </w:r>
      <w:r>
        <w:t>.</w:t>
      </w:r>
    </w:p>
    <w:p w14:paraId="606B3244" w14:textId="06C62C5C" w:rsidR="00292407" w:rsidRDefault="00292407" w:rsidP="00100F23">
      <w:pPr>
        <w:pStyle w:val="Heading2"/>
        <w:ind w:left="567" w:hanging="567"/>
      </w:pPr>
      <w:r>
        <w:t>In 20</w:t>
      </w:r>
      <w:r w:rsidR="00365093">
        <w:t>13</w:t>
      </w:r>
      <w:r>
        <w:t xml:space="preserve"> DCP</w:t>
      </w:r>
      <w:r w:rsidR="00365093">
        <w:t xml:space="preserve"> 16</w:t>
      </w:r>
      <w:r w:rsidR="00A66146">
        <w:t>1</w:t>
      </w:r>
      <w:r w:rsidR="00365093">
        <w:t xml:space="preserve"> ‘</w:t>
      </w:r>
      <w:r w:rsidR="00365093" w:rsidRPr="00365093">
        <w:t>Excess Capacity Charges</w:t>
      </w:r>
      <w:r w:rsidR="00365093">
        <w:t>’</w:t>
      </w:r>
      <w:r w:rsidR="00365093">
        <w:rPr>
          <w:rStyle w:val="FootnoteReference"/>
        </w:rPr>
        <w:footnoteReference w:id="1"/>
      </w:r>
      <w:r w:rsidR="00365093" w:rsidRPr="00365093">
        <w:t xml:space="preserve"> </w:t>
      </w:r>
      <w:r>
        <w:t xml:space="preserve"> was raised</w:t>
      </w:r>
      <w:r w:rsidR="00365093">
        <w:t xml:space="preserve">, with implementation in 2018/19. This removed the </w:t>
      </w:r>
      <w:r>
        <w:t xml:space="preserve">Customer Contribution </w:t>
      </w:r>
      <w:r w:rsidR="00365093">
        <w:t>from the excess capacity charge.</w:t>
      </w:r>
      <w:r>
        <w:t xml:space="preserve"> This had the effect of </w:t>
      </w:r>
      <w:r w:rsidR="00365093">
        <w:t>increasing the</w:t>
      </w:r>
      <w:r>
        <w:t xml:space="preserve"> </w:t>
      </w:r>
      <w:r w:rsidR="00365093">
        <w:t>excess capacity</w:t>
      </w:r>
      <w:r>
        <w:t xml:space="preserve"> tariff and introducing a differential between the </w:t>
      </w:r>
      <w:r w:rsidR="009A3A21">
        <w:t>capacity</w:t>
      </w:r>
      <w:r>
        <w:t xml:space="preserve"> tariff and the excess capacity tariff.</w:t>
      </w:r>
    </w:p>
    <w:p w14:paraId="4AF23DE6" w14:textId="0CF76367" w:rsidR="008F33CD" w:rsidRDefault="008F33CD" w:rsidP="00100F23">
      <w:pPr>
        <w:pStyle w:val="Heading2"/>
        <w:ind w:left="567" w:hanging="567"/>
      </w:pPr>
      <w:r w:rsidRPr="00682C0D">
        <w:t xml:space="preserve">Ofgem’s Access and </w:t>
      </w:r>
      <w:r w:rsidR="001019BE" w:rsidRPr="00682C0D">
        <w:t>Forward-Looking</w:t>
      </w:r>
      <w:r w:rsidRPr="00682C0D">
        <w:t xml:space="preserve"> Charges Significant Code Review (</w:t>
      </w:r>
      <w:r>
        <w:t xml:space="preserve">the </w:t>
      </w:r>
      <w:r w:rsidRPr="00682C0D">
        <w:t>Access SCR)</w:t>
      </w:r>
      <w:r w:rsidRPr="00100F23">
        <w:footnoteReference w:id="2"/>
      </w:r>
      <w:r w:rsidRPr="00682C0D">
        <w:t xml:space="preserve"> </w:t>
      </w:r>
      <w:r w:rsidR="004159E6">
        <w:t xml:space="preserve">concluded in 2022, resulting in </w:t>
      </w:r>
      <w:r w:rsidRPr="00682C0D">
        <w:t>changes to the Connections Charging policy which require</w:t>
      </w:r>
      <w:r>
        <w:t>d</w:t>
      </w:r>
      <w:r w:rsidRPr="00682C0D">
        <w:t xml:space="preserve"> a review of the current assumptions used for customer contributions in the CDCM. </w:t>
      </w:r>
    </w:p>
    <w:p w14:paraId="61A327DA" w14:textId="6F7086DA" w:rsidR="008F33CD" w:rsidRPr="00100F23" w:rsidRDefault="008F33CD" w:rsidP="00100F23">
      <w:pPr>
        <w:pStyle w:val="Heading2"/>
        <w:ind w:left="567" w:hanging="567"/>
        <w:rPr>
          <w:iCs w:val="0"/>
        </w:rPr>
      </w:pPr>
      <w:r w:rsidRPr="00100F23">
        <w:t>As a result of Ofgem’s decision on the Access SCR and following implementation of DCP406/A ‘Access SCR: Changes to CCCM’ the following changes have been made to the connection charging policy:</w:t>
      </w:r>
    </w:p>
    <w:p w14:paraId="35E2BE42" w14:textId="77777777" w:rsidR="004159E6" w:rsidRDefault="008F33CD">
      <w:pPr>
        <w:pStyle w:val="Heading2"/>
        <w:numPr>
          <w:ilvl w:val="0"/>
          <w:numId w:val="19"/>
        </w:numPr>
      </w:pPr>
      <w:r w:rsidRPr="00100F23">
        <w:rPr>
          <w:b/>
          <w:bCs w:val="0"/>
        </w:rPr>
        <w:t>Remove</w:t>
      </w:r>
      <w:r w:rsidRPr="00100F23">
        <w:t xml:space="preserve"> the contribution to reinforcement for demand connections by introducing a ‘fully shallow’ connection charging boundary. This will involve connecting customers paying for extension assets only.</w:t>
      </w:r>
    </w:p>
    <w:p w14:paraId="7298F6AC" w14:textId="5E8881A7" w:rsidR="008F33CD" w:rsidRPr="00100F23" w:rsidRDefault="008F33CD">
      <w:pPr>
        <w:pStyle w:val="Heading2"/>
        <w:numPr>
          <w:ilvl w:val="0"/>
          <w:numId w:val="19"/>
        </w:numPr>
        <w:rPr>
          <w:iCs w:val="0"/>
        </w:rPr>
      </w:pPr>
      <w:r w:rsidRPr="00100F23">
        <w:rPr>
          <w:b/>
          <w:bCs w:val="0"/>
        </w:rPr>
        <w:t>Reduce</w:t>
      </w:r>
      <w:r w:rsidRPr="00100F23">
        <w:t xml:space="preserve"> the contribution to reinforcement for generation connections by introducing a ‘shallow-ish’ connection charging boundary. This will involve connecting customer paying for extension assets and a contribution towards reinforcement at the voltage level at point of connection.</w:t>
      </w:r>
    </w:p>
    <w:p w14:paraId="713C0F54" w14:textId="3E0C3D6B" w:rsidR="008F33CD" w:rsidRPr="00100F23" w:rsidRDefault="008F33CD" w:rsidP="00100F23">
      <w:pPr>
        <w:numPr>
          <w:ilvl w:val="3"/>
          <w:numId w:val="0"/>
        </w:numPr>
        <w:spacing w:line="264" w:lineRule="auto"/>
        <w:ind w:left="567"/>
        <w:outlineLvl w:val="3"/>
        <w:rPr>
          <w:rFonts w:cs="Arial"/>
          <w:bCs/>
          <w:iCs/>
          <w:szCs w:val="20"/>
        </w:rPr>
      </w:pPr>
      <w:r w:rsidRPr="00100F23">
        <w:rPr>
          <w:rFonts w:cs="Arial"/>
          <w:bCs/>
          <w:iCs/>
          <w:szCs w:val="20"/>
        </w:rPr>
        <w:t xml:space="preserve">Table </w:t>
      </w:r>
      <w:r w:rsidR="002C357F">
        <w:rPr>
          <w:rFonts w:cs="Arial"/>
          <w:bCs/>
          <w:iCs/>
          <w:szCs w:val="20"/>
        </w:rPr>
        <w:t>1</w:t>
      </w:r>
      <w:r w:rsidRPr="00100F23">
        <w:rPr>
          <w:rFonts w:cs="Arial"/>
          <w:bCs/>
          <w:iCs/>
          <w:szCs w:val="20"/>
        </w:rPr>
        <w:t xml:space="preserve"> shows the change from current arrangements, as published in Ofgem’s final decision of the Access SCR:</w:t>
      </w:r>
    </w:p>
    <w:p w14:paraId="28250A9E" w14:textId="77777777" w:rsidR="008F33CD" w:rsidRPr="008F33CD" w:rsidRDefault="008F33CD" w:rsidP="008F33CD">
      <w:pPr>
        <w:spacing w:before="0" w:after="0" w:line="264" w:lineRule="auto"/>
        <w:ind w:left="567"/>
        <w:outlineLvl w:val="3"/>
        <w:rPr>
          <w:rFonts w:ascii="Calibri" w:hAnsi="Calibri"/>
          <w:iCs/>
          <w:noProof/>
          <w:sz w:val="22"/>
          <w:szCs w:val="26"/>
          <w:lang w:eastAsia="en-US"/>
        </w:rPr>
      </w:pPr>
      <w:r w:rsidRPr="008F33CD">
        <w:rPr>
          <w:rFonts w:ascii="Calibri" w:hAnsi="Calibri"/>
          <w:iCs/>
          <w:noProof/>
          <w:sz w:val="22"/>
          <w:szCs w:val="26"/>
          <w:lang w:eastAsia="en-US"/>
        </w:rPr>
        <w:lastRenderedPageBreak/>
        <w:drawing>
          <wp:inline distT="0" distB="0" distL="0" distR="0" wp14:anchorId="7350AE8B" wp14:editId="6AE9CC24">
            <wp:extent cx="6299643" cy="2484000"/>
            <wp:effectExtent l="19050" t="19050" r="25400" b="12065"/>
            <wp:docPr id="472150121" name="Picture 47215012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50121" name="Picture 472150121" descr="A screenshot of a computer&#10;&#10;Description automatically generated"/>
                    <pic:cNvPicPr/>
                  </pic:nvPicPr>
                  <pic:blipFill rotWithShape="1">
                    <a:blip r:embed="rId18"/>
                    <a:srcRect l="2193" t="44260" r="8007" b="5984"/>
                    <a:stretch/>
                  </pic:blipFill>
                  <pic:spPr bwMode="auto">
                    <a:xfrm>
                      <a:off x="0" y="0"/>
                      <a:ext cx="6335028" cy="2497953"/>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p>
    <w:p w14:paraId="3015280A" w14:textId="6A853E0F" w:rsidR="008F33CD" w:rsidRPr="00100F23" w:rsidRDefault="008F33CD" w:rsidP="008F33CD">
      <w:pPr>
        <w:spacing w:before="60" w:line="240" w:lineRule="auto"/>
        <w:jc w:val="center"/>
        <w:rPr>
          <w:rFonts w:eastAsia="Calibri" w:cs="Arial"/>
          <w:b/>
          <w:bCs/>
          <w:szCs w:val="20"/>
          <w:lang w:eastAsia="en-US"/>
        </w:rPr>
      </w:pPr>
      <w:r w:rsidRPr="00100F23">
        <w:rPr>
          <w:rFonts w:eastAsia="Calibri" w:cs="Arial"/>
          <w:b/>
          <w:bCs/>
          <w:szCs w:val="20"/>
          <w:lang w:eastAsia="en-US"/>
        </w:rPr>
        <w:t xml:space="preserve">Table </w:t>
      </w:r>
      <w:r w:rsidR="002C357F">
        <w:rPr>
          <w:rFonts w:eastAsia="Calibri" w:cs="Arial"/>
          <w:b/>
          <w:bCs/>
          <w:szCs w:val="20"/>
          <w:lang w:eastAsia="en-US"/>
        </w:rPr>
        <w:t>1</w:t>
      </w:r>
      <w:r w:rsidRPr="00100F23">
        <w:rPr>
          <w:rFonts w:eastAsia="Calibri" w:cs="Arial"/>
          <w:b/>
          <w:bCs/>
          <w:szCs w:val="20"/>
          <w:lang w:eastAsia="en-US"/>
        </w:rPr>
        <w:t xml:space="preserve"> – Ofgem’s Access SCR illustration of changes </w:t>
      </w:r>
    </w:p>
    <w:p w14:paraId="195008EB" w14:textId="0D4D3C42" w:rsidR="004159E6" w:rsidRPr="00100F23" w:rsidRDefault="008F33CD" w:rsidP="00100F23">
      <w:pPr>
        <w:pStyle w:val="Heading2"/>
        <w:ind w:left="567" w:hanging="567"/>
        <w:rPr>
          <w:iCs w:val="0"/>
        </w:rPr>
      </w:pPr>
      <w:r w:rsidRPr="00100F23">
        <w:t>The change in connection charging policy reflected in the Common Connections Charging Methodology Statement (CCCMS) require</w:t>
      </w:r>
      <w:r w:rsidR="004159E6" w:rsidRPr="00100F23">
        <w:t>d</w:t>
      </w:r>
      <w:r w:rsidRPr="00100F23">
        <w:t xml:space="preserve"> a review of the assumptions used for customer contributions in the CDCM.</w:t>
      </w:r>
    </w:p>
    <w:p w14:paraId="444E72ED" w14:textId="63AC64FA" w:rsidR="00DD795C" w:rsidRPr="00DD795C" w:rsidRDefault="008F33CD" w:rsidP="00100F23">
      <w:pPr>
        <w:pStyle w:val="Heading2"/>
        <w:ind w:left="567" w:hanging="567"/>
      </w:pPr>
      <w:r w:rsidRPr="00100F23">
        <w:t>Following discussions between DNOs at the DCMDG</w:t>
      </w:r>
      <w:r w:rsidR="00F97AB2">
        <w:t xml:space="preserve"> in </w:t>
      </w:r>
      <w:r w:rsidR="005D0BB2">
        <w:t>meetings 61 to 66 during the spring/summer of 2023,</w:t>
      </w:r>
      <w:r w:rsidRPr="00100F23">
        <w:t xml:space="preserve"> it was agreed that all DNOs would reduce the customer contribution inputs to zero</w:t>
      </w:r>
      <w:r w:rsidR="004159E6" w:rsidRPr="004159E6">
        <w:t xml:space="preserve"> </w:t>
      </w:r>
      <w:r w:rsidR="004159E6" w:rsidRPr="00682C0D">
        <w:t>for all network levels and customer groups</w:t>
      </w:r>
      <w:r w:rsidR="004159E6">
        <w:t xml:space="preserve"> when setting 2025/26 charges and going forwards</w:t>
      </w:r>
      <w:r w:rsidR="004159E6" w:rsidRPr="00682C0D">
        <w:t>.</w:t>
      </w:r>
      <w:r w:rsidR="00E82E00">
        <w:t xml:space="preserve"> Further </w:t>
      </w:r>
      <w:r w:rsidR="00E82E00" w:rsidRPr="00DD795C">
        <w:t xml:space="preserve">details can be found in the DCMDG Minutes: </w:t>
      </w:r>
      <w:hyperlink r:id="rId19" w:tgtFrame="_blank" w:tooltip="https://www.dcusa.co.uk/group/dcmdg/" w:history="1">
        <w:r w:rsidR="00E82E00">
          <w:rPr>
            <w:rStyle w:val="Hyperlink"/>
          </w:rPr>
          <w:t>Distribution Charging Methodologies Development Group (DCMDG)</w:t>
        </w:r>
      </w:hyperlink>
      <w:r w:rsidR="00E82E00">
        <w:t xml:space="preserve"> </w:t>
      </w:r>
    </w:p>
    <w:p w14:paraId="0FB63712" w14:textId="5CE12C59" w:rsidR="004159E6" w:rsidRDefault="004159E6" w:rsidP="004159E6">
      <w:pPr>
        <w:pStyle w:val="Heading2"/>
        <w:ind w:left="567" w:hanging="567"/>
      </w:pPr>
      <w:r>
        <w:t xml:space="preserve">The effect of reducing the customer contribution to zero was an increase in the </w:t>
      </w:r>
      <w:r w:rsidR="009A3A21">
        <w:t>capacity</w:t>
      </w:r>
      <w:r>
        <w:t xml:space="preserve"> tariff to the same level as the excess capacity tariff, removing the differential between the two tariffs</w:t>
      </w:r>
      <w:r w:rsidR="000861A9">
        <w:t>, which can be seen as reducing the incentive for a site to maintain their demand within the constraints of their MIC</w:t>
      </w:r>
      <w:r>
        <w:t>.</w:t>
      </w:r>
    </w:p>
    <w:p w14:paraId="5C6B6E47" w14:textId="3EB4B1E0" w:rsidR="004159E6" w:rsidRDefault="007D6239" w:rsidP="00632A23">
      <w:pPr>
        <w:pStyle w:val="Heading2"/>
      </w:pPr>
      <w:r>
        <w:t>The below table</w:t>
      </w:r>
      <w:r w:rsidR="004159E6">
        <w:t xml:space="preserve"> show</w:t>
      </w:r>
      <w:r>
        <w:t>s</w:t>
      </w:r>
      <w:r w:rsidR="004159E6">
        <w:t xml:space="preserve"> an example of current/historical levels of excess capacity charge.</w:t>
      </w:r>
    </w:p>
    <w:p w14:paraId="05D4D582" w14:textId="510FA056" w:rsidR="00FE1F59" w:rsidRPr="00FE1F59" w:rsidRDefault="00FE1F59" w:rsidP="00FE1F59">
      <w:r w:rsidRPr="00B00F7F">
        <w:rPr>
          <w:noProof/>
        </w:rPr>
        <w:drawing>
          <wp:inline distT="0" distB="0" distL="0" distR="0" wp14:anchorId="5F86E15A" wp14:editId="2A763A9D">
            <wp:extent cx="6469380" cy="1895400"/>
            <wp:effectExtent l="0" t="0" r="0" b="0"/>
            <wp:docPr id="866830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18681" cy="1909844"/>
                    </a:xfrm>
                    <a:prstGeom prst="rect">
                      <a:avLst/>
                    </a:prstGeom>
                    <a:noFill/>
                    <a:ln>
                      <a:noFill/>
                    </a:ln>
                  </pic:spPr>
                </pic:pic>
              </a:graphicData>
            </a:graphic>
          </wp:inline>
        </w:drawing>
      </w:r>
    </w:p>
    <w:p w14:paraId="128C2460" w14:textId="77777777" w:rsidR="00632A23" w:rsidRDefault="00632A23" w:rsidP="00632A23"/>
    <w:p w14:paraId="5BE006B9" w14:textId="77777777" w:rsidR="00632A23" w:rsidRDefault="00632A23" w:rsidP="00632A23"/>
    <w:p w14:paraId="012CECCF" w14:textId="77777777" w:rsidR="00632A23" w:rsidRDefault="00632A23" w:rsidP="00632A23"/>
    <w:p w14:paraId="22D6D724" w14:textId="77777777" w:rsidR="00632A23" w:rsidRDefault="00632A23" w:rsidP="00632A23"/>
    <w:p w14:paraId="057B78FA" w14:textId="77777777" w:rsidR="00632A23" w:rsidRDefault="00632A23" w:rsidP="00632A23"/>
    <w:p w14:paraId="69971C0E" w14:textId="77777777" w:rsidR="00632A23" w:rsidRDefault="00632A23" w:rsidP="00632A23"/>
    <w:p w14:paraId="051A21E9" w14:textId="77777777" w:rsidR="00632A23" w:rsidRDefault="00632A23" w:rsidP="00632A23"/>
    <w:p w14:paraId="74D8A6C8" w14:textId="77777777" w:rsidR="00632A23" w:rsidRPr="00632A23" w:rsidRDefault="00632A23" w:rsidP="00632A23"/>
    <w:p w14:paraId="491860CA" w14:textId="77777777" w:rsidR="004159E6" w:rsidRPr="00100F23" w:rsidRDefault="004159E6" w:rsidP="00100F23"/>
    <w:p w14:paraId="495D9931" w14:textId="47D67259" w:rsidR="004159E6" w:rsidRDefault="0059515C" w:rsidP="0059515C">
      <w:pPr>
        <w:pStyle w:val="Heading2"/>
      </w:pPr>
      <w:r w:rsidRPr="00655C44">
        <w:t xml:space="preserve">As a result </w:t>
      </w:r>
      <w:r w:rsidR="004159E6">
        <w:t xml:space="preserve">of this change </w:t>
      </w:r>
      <w:r w:rsidR="00292407">
        <w:t>the proposer</w:t>
      </w:r>
      <w:r w:rsidRPr="00655C44">
        <w:t xml:space="preserve"> ha</w:t>
      </w:r>
      <w:r w:rsidR="00292407">
        <w:t>s</w:t>
      </w:r>
      <w:r w:rsidRPr="00655C44">
        <w:t xml:space="preserve"> seen </w:t>
      </w:r>
      <w:r w:rsidR="004159E6">
        <w:t>the following situations arise:</w:t>
      </w:r>
    </w:p>
    <w:p w14:paraId="647F3F93" w14:textId="3A3DCE7A" w:rsidR="0059515C" w:rsidRPr="00655C44" w:rsidRDefault="0059515C">
      <w:pPr>
        <w:pStyle w:val="Heading2"/>
        <w:numPr>
          <w:ilvl w:val="0"/>
          <w:numId w:val="20"/>
        </w:numPr>
      </w:pPr>
      <w:r w:rsidRPr="00655C44">
        <w:t xml:space="preserve">a consultant </w:t>
      </w:r>
      <w:r w:rsidR="00A15132" w:rsidRPr="00655C44">
        <w:t>state</w:t>
      </w:r>
      <w:r w:rsidR="00A15132">
        <w:t>d,</w:t>
      </w:r>
      <w:r w:rsidRPr="00655C44">
        <w:t xml:space="preserve"> “With the capacity and excess capacity charges being the same, there is little incentive for the customers to increase their capacities, especially if there are “costs to do this.”</w:t>
      </w:r>
    </w:p>
    <w:p w14:paraId="00B6C598" w14:textId="48057FA9" w:rsidR="0059515C" w:rsidRDefault="0059515C">
      <w:pPr>
        <w:pStyle w:val="Heading2"/>
        <w:numPr>
          <w:ilvl w:val="0"/>
          <w:numId w:val="20"/>
        </w:numPr>
      </w:pPr>
      <w:r>
        <w:t>a customer email</w:t>
      </w:r>
      <w:r w:rsidR="004159E6">
        <w:t>ed to</w:t>
      </w:r>
      <w:r>
        <w:t xml:space="preserve"> tell </w:t>
      </w:r>
      <w:r w:rsidR="004159E6">
        <w:t>the DNO</w:t>
      </w:r>
      <w:r>
        <w:t xml:space="preserve"> that they </w:t>
      </w:r>
      <w:r w:rsidRPr="009C3F01">
        <w:rPr>
          <w:u w:val="single"/>
        </w:rPr>
        <w:t xml:space="preserve">will </w:t>
      </w:r>
      <w:r>
        <w:t>exceed their capacity for two weeks this summer and will be happy to pay the excess.</w:t>
      </w:r>
    </w:p>
    <w:p w14:paraId="7EC70DDD" w14:textId="1FB84B4B" w:rsidR="0059515C" w:rsidRPr="00060E16" w:rsidRDefault="0059515C">
      <w:pPr>
        <w:pStyle w:val="Heading2"/>
        <w:numPr>
          <w:ilvl w:val="0"/>
          <w:numId w:val="20"/>
        </w:numPr>
      </w:pPr>
      <w:r>
        <w:rPr>
          <w:lang w:val="en-US"/>
        </w:rPr>
        <w:t xml:space="preserve">dialogue with a </w:t>
      </w:r>
      <w:r w:rsidR="00DD7837">
        <w:rPr>
          <w:lang w:val="en-US"/>
        </w:rPr>
        <w:t>customer</w:t>
      </w:r>
      <w:r>
        <w:rPr>
          <w:lang w:val="en-US"/>
        </w:rPr>
        <w:t xml:space="preserve"> who stated that as e</w:t>
      </w:r>
      <w:r w:rsidRPr="00080CAE">
        <w:rPr>
          <w:lang w:val="en-US"/>
        </w:rPr>
        <w:t xml:space="preserve">xcess capacity charges will be </w:t>
      </w:r>
      <w:r>
        <w:rPr>
          <w:lang w:val="en-US"/>
        </w:rPr>
        <w:t xml:space="preserve">the </w:t>
      </w:r>
      <w:r w:rsidRPr="00080CAE">
        <w:rPr>
          <w:lang w:val="en-US"/>
        </w:rPr>
        <w:t xml:space="preserve">same as standard capacity charges, a consumer will no longer be </w:t>
      </w:r>
      <w:r w:rsidR="00813C26">
        <w:rPr>
          <w:lang w:val="en-US"/>
        </w:rPr>
        <w:t>charged</w:t>
      </w:r>
      <w:r w:rsidR="006248E1">
        <w:rPr>
          <w:lang w:val="en-US"/>
        </w:rPr>
        <w:t xml:space="preserve"> </w:t>
      </w:r>
      <w:r w:rsidRPr="00080CAE">
        <w:rPr>
          <w:lang w:val="en-US"/>
        </w:rPr>
        <w:t>at a higher rate for exceeding capacity</w:t>
      </w:r>
      <w:r>
        <w:rPr>
          <w:lang w:val="en-US"/>
        </w:rPr>
        <w:t xml:space="preserve">, which is not the </w:t>
      </w:r>
      <w:r w:rsidR="00813C26">
        <w:rPr>
          <w:lang w:val="en-US"/>
        </w:rPr>
        <w:t>incentivizing</w:t>
      </w:r>
      <w:r w:rsidR="006248E1">
        <w:rPr>
          <w:lang w:val="en-US"/>
        </w:rPr>
        <w:t xml:space="preserve"> </w:t>
      </w:r>
      <w:r>
        <w:rPr>
          <w:lang w:val="en-US"/>
        </w:rPr>
        <w:t>message the charges should be showing.</w:t>
      </w:r>
    </w:p>
    <w:p w14:paraId="356BD996" w14:textId="43BC5E0C" w:rsidR="0059515C" w:rsidRPr="00060E16" w:rsidRDefault="0059515C">
      <w:pPr>
        <w:pStyle w:val="Heading2"/>
        <w:numPr>
          <w:ilvl w:val="0"/>
          <w:numId w:val="20"/>
        </w:numPr>
      </w:pPr>
      <w:r>
        <w:rPr>
          <w:lang w:val="en-US"/>
        </w:rPr>
        <w:t>A customer request</w:t>
      </w:r>
      <w:r w:rsidR="004159E6">
        <w:rPr>
          <w:lang w:val="en-US"/>
        </w:rPr>
        <w:t>ed</w:t>
      </w:r>
      <w:r>
        <w:rPr>
          <w:lang w:val="en-US"/>
        </w:rPr>
        <w:t xml:space="preserve"> a reduction in their capacity on the basis they will pay the excess when they do exceed</w:t>
      </w:r>
      <w:r w:rsidR="00813C26">
        <w:rPr>
          <w:lang w:val="en-US"/>
        </w:rPr>
        <w:t xml:space="preserve"> (this wasn’t agreed to by the Distributor</w:t>
      </w:r>
    </w:p>
    <w:p w14:paraId="05873014" w14:textId="451C0A53" w:rsidR="0059515C" w:rsidRDefault="0059515C" w:rsidP="0059515C">
      <w:pPr>
        <w:pStyle w:val="Heading2"/>
      </w:pPr>
      <w:r>
        <w:t xml:space="preserve">Where a customer properly applies for an upgrade in their capacity, they are not allowed to reduce it again for 12 months (Schedule 16 Paragraph 149). This creates a discrimination/disincentive between those who </w:t>
      </w:r>
      <w:r w:rsidR="009E13AA">
        <w:t xml:space="preserve">have requested an increase and will pay for at least 12 months </w:t>
      </w:r>
      <w:r>
        <w:t>as compared to those</w:t>
      </w:r>
      <w:r w:rsidR="009E13AA">
        <w:t xml:space="preserve"> who exceed their capacity and</w:t>
      </w:r>
      <w:r>
        <w:t xml:space="preserve"> do not</w:t>
      </w:r>
      <w:r w:rsidR="009E13AA">
        <w:t xml:space="preserve"> request the increase in Capacity and potentially pay less in 12 months</w:t>
      </w:r>
      <w:r>
        <w:t>.</w:t>
      </w:r>
    </w:p>
    <w:p w14:paraId="2E4C27EA" w14:textId="1F521966" w:rsidR="0059515C" w:rsidRDefault="0059515C" w:rsidP="0059515C">
      <w:pPr>
        <w:pStyle w:val="Heading2"/>
      </w:pPr>
      <w:r>
        <w:t xml:space="preserve">The National Terms of Connection (NTC) give certain rights to the Distributor when a customer exceeds their capacity but in practice this can be a long-winded process, that endures long after the event and leaves the </w:t>
      </w:r>
      <w:r w:rsidR="00E95160">
        <w:t xml:space="preserve">Distributor </w:t>
      </w:r>
      <w:r>
        <w:t>with no real sanctions.</w:t>
      </w:r>
    </w:p>
    <w:p w14:paraId="3AA3FBC6" w14:textId="77777777" w:rsidR="0059515C" w:rsidRDefault="0059515C" w:rsidP="0059515C">
      <w:pPr>
        <w:pStyle w:val="Heading2"/>
      </w:pPr>
      <w:r>
        <w:t>Taking an excess capacity is not an agreement to that capacity being available and the NTC still apply to the MIC/MEC.</w:t>
      </w:r>
    </w:p>
    <w:p w14:paraId="5703341D" w14:textId="77777777" w:rsidR="00B52063" w:rsidRPr="00B52063" w:rsidRDefault="0007537E" w:rsidP="00370BE5">
      <w:pPr>
        <w:pStyle w:val="Heading02"/>
      </w:pPr>
      <w:bookmarkStart w:id="14" w:name="_Toc177119169"/>
      <w:r>
        <w:t>Working Group Assessment</w:t>
      </w:r>
      <w:bookmarkEnd w:id="14"/>
      <w:r>
        <w:t xml:space="preserve"> </w:t>
      </w:r>
    </w:p>
    <w:p w14:paraId="30F32882" w14:textId="56062D4C" w:rsidR="0012717A" w:rsidRPr="0058426F" w:rsidRDefault="0012717A" w:rsidP="00370BE5">
      <w:pPr>
        <w:pStyle w:val="Heading4"/>
        <w:widowControl w:val="0"/>
      </w:pPr>
      <w:bookmarkStart w:id="15" w:name="_Toc318962139"/>
      <w:r w:rsidRPr="0058426F">
        <w:t>Working Group Assessment</w:t>
      </w:r>
    </w:p>
    <w:p w14:paraId="517574E3" w14:textId="31C4BEF7" w:rsidR="00A25F81" w:rsidRDefault="00A25F81" w:rsidP="00370BE5">
      <w:pPr>
        <w:pStyle w:val="Heading2"/>
        <w:keepNext w:val="0"/>
      </w:pPr>
      <w:r>
        <w:t>The DCUSA Panel established a Working Group to assess this CP. Meetings were held in open session and the minutes and papers of each meeting are available on the DCUSA website – www.dcusa.co.uk.</w:t>
      </w:r>
    </w:p>
    <w:p w14:paraId="38BA8360" w14:textId="6377030B" w:rsidR="00FA15F6" w:rsidRPr="00FA15F6" w:rsidRDefault="00A25F81" w:rsidP="00FA15F6">
      <w:pPr>
        <w:pStyle w:val="Heading2"/>
      </w:pPr>
      <w:r>
        <w:t>The Proposer walked the Working Group through the change and explained</w:t>
      </w:r>
      <w:bookmarkStart w:id="16" w:name="_Toc318967199"/>
      <w:r w:rsidR="00FA15F6">
        <w:t xml:space="preserve"> that t</w:t>
      </w:r>
      <w:r w:rsidR="00FA15F6" w:rsidRPr="00FA15F6">
        <w:t>he purpose of this change is to amend the CDCM</w:t>
      </w:r>
      <w:r w:rsidR="00D9219F">
        <w:t xml:space="preserve"> and EDCM</w:t>
      </w:r>
      <w:r w:rsidR="00025241">
        <w:t xml:space="preserve"> as</w:t>
      </w:r>
      <w:r w:rsidR="00FA15F6" w:rsidRPr="00FA15F6">
        <w:t xml:space="preserve"> such that excess capacity charges are set in </w:t>
      </w:r>
      <w:r w:rsidR="00FA15F6" w:rsidRPr="00FA15F6">
        <w:lastRenderedPageBreak/>
        <w:t xml:space="preserve">order to </w:t>
      </w:r>
      <w:r w:rsidR="009A3A21">
        <w:t>discourage use of capacity in excess of a site’s MIC</w:t>
      </w:r>
      <w:r w:rsidR="00FA15F6" w:rsidRPr="00FA15F6">
        <w:t>. Customer behaviour may be sub-optimal as a result of the existing processes.</w:t>
      </w:r>
    </w:p>
    <w:p w14:paraId="78FDD677" w14:textId="33604F24" w:rsidR="00875A34" w:rsidRDefault="00FA15F6" w:rsidP="00875A34">
      <w:pPr>
        <w:pStyle w:val="Heading2"/>
      </w:pPr>
      <w:r w:rsidRPr="00FA15F6">
        <w:t xml:space="preserve">In order to do this, it is proposed that the daily </w:t>
      </w:r>
      <w:r w:rsidR="009A3A21" w:rsidRPr="00FA15F6">
        <w:t>exce</w:t>
      </w:r>
      <w:r w:rsidR="009A3A21">
        <w:t>ss</w:t>
      </w:r>
      <w:r w:rsidR="009A3A21" w:rsidRPr="00FA15F6">
        <w:t xml:space="preserve"> </w:t>
      </w:r>
      <w:r w:rsidRPr="00FA15F6">
        <w:t xml:space="preserve">capacity charge is set to give the right messages/cost signals to influence customer behaviour. </w:t>
      </w:r>
    </w:p>
    <w:p w14:paraId="08C1ACDD" w14:textId="3F3317C1" w:rsidR="00875A34" w:rsidRPr="00BF3814" w:rsidRDefault="00875A34" w:rsidP="00875A34">
      <w:pPr>
        <w:rPr>
          <w:b/>
          <w:bCs/>
          <w:u w:val="single"/>
        </w:rPr>
      </w:pPr>
      <w:r w:rsidRPr="00BF3814">
        <w:rPr>
          <w:b/>
          <w:bCs/>
          <w:u w:val="single"/>
        </w:rPr>
        <w:t>Option A – 12-Month Maximum Demand (MD) Charging</w:t>
      </w:r>
    </w:p>
    <w:p w14:paraId="2A642F43" w14:textId="77777777" w:rsidR="000F5735" w:rsidRDefault="00FA15F6" w:rsidP="005943D0">
      <w:pPr>
        <w:pStyle w:val="Heading2"/>
      </w:pPr>
      <w:r w:rsidRPr="00FA15F6">
        <w:t xml:space="preserve">One solution </w:t>
      </w:r>
      <w:r w:rsidR="009E217E">
        <w:t>is to</w:t>
      </w:r>
      <w:r w:rsidRPr="00FA15F6">
        <w:t xml:space="preserve"> </w:t>
      </w:r>
      <w:r w:rsidR="009E217E">
        <w:t xml:space="preserve">charge excess capacity charges based on </w:t>
      </w:r>
      <w:r w:rsidRPr="00FA15F6">
        <w:t xml:space="preserve">the highest MD in the preceding 12 months, for which we have provided draft legal text. This is how </w:t>
      </w:r>
      <w:r w:rsidR="002C357F">
        <w:t>some DNOs</w:t>
      </w:r>
      <w:r w:rsidR="003E2D5C" w:rsidRPr="00FA15F6">
        <w:t xml:space="preserve"> </w:t>
      </w:r>
      <w:r w:rsidRPr="00FA15F6">
        <w:t xml:space="preserve">charged excess capacity prior to </w:t>
      </w:r>
      <w:r w:rsidR="002C357F">
        <w:t xml:space="preserve">the implementation of the </w:t>
      </w:r>
      <w:r w:rsidRPr="00FA15F6">
        <w:t>CDCM.</w:t>
      </w:r>
      <w:r w:rsidR="00365093">
        <w:t xml:space="preserve"> </w:t>
      </w:r>
      <w:r w:rsidR="002C357F">
        <w:t>The other DNOs used other methods, including some that used the method</w:t>
      </w:r>
      <w:r w:rsidR="00365093">
        <w:t xml:space="preserve"> currently implemented in the CDCM, to charge for capacity in excess of the MIC.</w:t>
      </w:r>
      <w:r w:rsidRPr="00FA15F6">
        <w:t xml:space="preserve"> </w:t>
      </w:r>
    </w:p>
    <w:p w14:paraId="51E021B6" w14:textId="77777777" w:rsidR="006F2916" w:rsidRDefault="000B572D">
      <w:pPr>
        <w:pStyle w:val="Heading2"/>
      </w:pPr>
      <w:r>
        <w:t xml:space="preserve">The </w:t>
      </w:r>
      <w:r w:rsidR="000F5735">
        <w:t>impact of this solution would be that excess capacity charges would change from being billed for one complete month (being the month in which the capacity was exceeded) to being billed for 12 months (being the month in which the capacity was exceeded and the following 11 months). Excess capacity charges will only be levied on the highest exceeded capacity in the preceding 12 months (ie if there is an excess capacity in more than one month then the higher of the two will be billed</w:t>
      </w:r>
      <w:r w:rsidR="00F1002A">
        <w:t xml:space="preserve"> for 12 months from the date it occurs</w:t>
      </w:r>
      <w:r w:rsidR="000F5735">
        <w:t>)</w:t>
      </w:r>
    </w:p>
    <w:p w14:paraId="555B4AE2" w14:textId="581C18A9" w:rsidR="00F04EC4" w:rsidRDefault="006F2916">
      <w:pPr>
        <w:pStyle w:val="Heading2"/>
      </w:pPr>
      <w:r>
        <w:t xml:space="preserve">The Working Group also considered what should happen if there is a change in MIC within the 11 months following an exceeded capacity. The Working Group considered that any </w:t>
      </w:r>
      <w:r w:rsidR="00A15132">
        <w:t>excess</w:t>
      </w:r>
      <w:r>
        <w:t xml:space="preserve"> capacity charge will be negated by any change in MIC, which will take precedent from the date it is </w:t>
      </w:r>
      <w:r w:rsidR="00A15132">
        <w:t>affected</w:t>
      </w:r>
      <w:r>
        <w:t xml:space="preserve">. </w:t>
      </w:r>
      <w:r w:rsidR="0093684C">
        <w:t>This is because the exceeded capacity was an excess over a different underlying MIC value</w:t>
      </w:r>
      <w:r w:rsidR="00AE17D4">
        <w:t xml:space="preserve"> and so charging a new increased MIC and an excess could result in double counting</w:t>
      </w:r>
      <w:r w:rsidR="0035381D">
        <w:t>,</w:t>
      </w:r>
      <w:r w:rsidR="00AE17D4">
        <w:t xml:space="preserve"> and charging a new reduced MIC with an excess</w:t>
      </w:r>
      <w:r w:rsidR="00216E76">
        <w:t xml:space="preserve"> does not recognise that there has been a change in use</w:t>
      </w:r>
      <w:r w:rsidR="00F340DB">
        <w:t xml:space="preserve"> at the site</w:t>
      </w:r>
      <w:r w:rsidR="00F338BB">
        <w:t xml:space="preserve">. </w:t>
      </w:r>
      <w:r>
        <w:t>The Working Group seeks views on this approach..</w:t>
      </w:r>
      <w:r w:rsidR="00556DDD">
        <w:t>.</w:t>
      </w:r>
    </w:p>
    <w:p w14:paraId="152D8255" w14:textId="0D3A4EF1" w:rsidR="000B572D" w:rsidRDefault="009E217E" w:rsidP="000B572D">
      <w:pPr>
        <w:pStyle w:val="Heading2"/>
      </w:pPr>
      <w:r>
        <w:t xml:space="preserve">The following examples have been included in </w:t>
      </w:r>
      <w:r w:rsidRPr="00100F23">
        <w:rPr>
          <w:b/>
          <w:bCs w:val="0"/>
          <w:iCs w:val="0"/>
        </w:rPr>
        <w:t xml:space="preserve">Attachment </w:t>
      </w:r>
      <w:r w:rsidR="009A3A21" w:rsidRPr="00100F23">
        <w:rPr>
          <w:b/>
          <w:bCs w:val="0"/>
          <w:iCs w:val="0"/>
        </w:rPr>
        <w:t>3 Excess Capacity Worked Examples</w:t>
      </w:r>
      <w:r>
        <w:t xml:space="preserve"> i</w:t>
      </w:r>
      <w:r w:rsidR="00E95160">
        <w:t xml:space="preserve">n order to illustrate </w:t>
      </w:r>
      <w:r w:rsidR="007B3D0B">
        <w:t xml:space="preserve">the chargeable capacity and capacity charges under </w:t>
      </w:r>
      <w:r w:rsidR="00E95160">
        <w:t xml:space="preserve">the </w:t>
      </w:r>
      <w:r w:rsidR="007B3D0B">
        <w:t xml:space="preserve">current methodology and this </w:t>
      </w:r>
      <w:r w:rsidR="00E95160">
        <w:t>proposed</w:t>
      </w:r>
      <w:r>
        <w:t xml:space="preserve"> solution</w:t>
      </w:r>
      <w:r w:rsidR="000D0AAD">
        <w:t>.</w:t>
      </w:r>
    </w:p>
    <w:p w14:paraId="1C15E18B" w14:textId="10F32874" w:rsidR="000B572D" w:rsidRPr="008B2D71" w:rsidRDefault="000B572D" w:rsidP="00AC7CD6">
      <w:pPr>
        <w:ind w:left="360"/>
        <w:rPr>
          <w:b/>
          <w:bCs/>
          <w:u w:val="single"/>
        </w:rPr>
      </w:pPr>
      <w:r w:rsidRPr="008B2D71">
        <w:rPr>
          <w:b/>
          <w:bCs/>
          <w:u w:val="single"/>
        </w:rPr>
        <w:t>Current methodology</w:t>
      </w:r>
      <w:r w:rsidR="000F5735">
        <w:rPr>
          <w:b/>
          <w:bCs/>
          <w:u w:val="single"/>
        </w:rPr>
        <w:t xml:space="preserve"> </w:t>
      </w:r>
      <w:r w:rsidRPr="008B2D71">
        <w:rPr>
          <w:b/>
          <w:bCs/>
          <w:u w:val="single"/>
        </w:rPr>
        <w:t>-</w:t>
      </w:r>
      <w:r w:rsidR="000F5735">
        <w:rPr>
          <w:b/>
          <w:bCs/>
          <w:u w:val="single"/>
        </w:rPr>
        <w:t xml:space="preserve"> </w:t>
      </w:r>
      <w:r w:rsidR="000F5735" w:rsidRPr="000F5735">
        <w:rPr>
          <w:b/>
          <w:bCs/>
          <w:u w:val="single"/>
        </w:rPr>
        <w:t xml:space="preserve">charged for the full duration of the billing period in which the </w:t>
      </w:r>
      <w:r w:rsidR="000F5735">
        <w:rPr>
          <w:b/>
          <w:bCs/>
          <w:u w:val="single"/>
        </w:rPr>
        <w:t>excess capacity occurs</w:t>
      </w:r>
    </w:p>
    <w:p w14:paraId="7967C739" w14:textId="1901384C" w:rsidR="00D61A9C" w:rsidRDefault="00D61A9C">
      <w:pPr>
        <w:pStyle w:val="ListParagraph"/>
        <w:numPr>
          <w:ilvl w:val="0"/>
          <w:numId w:val="18"/>
        </w:numPr>
      </w:pPr>
      <w:r>
        <w:t>Example 1 – Max Demand Exceeds MIC in one month only</w:t>
      </w:r>
    </w:p>
    <w:p w14:paraId="52343C96" w14:textId="128785D0" w:rsidR="000B572D" w:rsidRPr="00AC7CD6" w:rsidRDefault="000B572D" w:rsidP="00AC7CD6">
      <w:pPr>
        <w:ind w:left="360"/>
        <w:rPr>
          <w:b/>
          <w:bCs/>
          <w:u w:val="single"/>
        </w:rPr>
      </w:pPr>
      <w:r w:rsidRPr="00AC7CD6">
        <w:rPr>
          <w:b/>
          <w:bCs/>
          <w:u w:val="single"/>
        </w:rPr>
        <w:t>Proposed methodology- based on the highest MD in current month and preceding 11 months</w:t>
      </w:r>
    </w:p>
    <w:p w14:paraId="658BA356" w14:textId="31F4C098" w:rsidR="000D0AAD" w:rsidRDefault="00D61A9C">
      <w:pPr>
        <w:pStyle w:val="ListParagraph"/>
        <w:numPr>
          <w:ilvl w:val="0"/>
          <w:numId w:val="18"/>
        </w:numPr>
      </w:pPr>
      <w:r>
        <w:t xml:space="preserve">Example 2 - </w:t>
      </w:r>
      <w:r w:rsidR="009E217E">
        <w:t xml:space="preserve">Max Demand </w:t>
      </w:r>
      <w:r w:rsidR="000D0AAD" w:rsidRPr="000D0AAD">
        <w:t xml:space="preserve">Exceeds </w:t>
      </w:r>
      <w:r w:rsidR="009E217E">
        <w:t xml:space="preserve">MIC </w:t>
      </w:r>
      <w:r w:rsidR="000D0AAD" w:rsidRPr="000D0AAD">
        <w:t>in one month only</w:t>
      </w:r>
    </w:p>
    <w:p w14:paraId="5C66B8F9" w14:textId="19D17A34" w:rsidR="000D0AAD" w:rsidRDefault="00D61A9C">
      <w:pPr>
        <w:pStyle w:val="ListParagraph"/>
        <w:numPr>
          <w:ilvl w:val="0"/>
          <w:numId w:val="18"/>
        </w:numPr>
      </w:pPr>
      <w:r>
        <w:t xml:space="preserve">Example 3 - </w:t>
      </w:r>
      <w:r w:rsidR="009E217E">
        <w:t>Max Demand exceeds MIC in two months</w:t>
      </w:r>
      <w:r w:rsidR="000D0AAD" w:rsidRPr="000D0AAD">
        <w:t xml:space="preserve">, </w:t>
      </w:r>
      <w:r w:rsidR="009E217E">
        <w:t xml:space="preserve">with </w:t>
      </w:r>
      <w:r w:rsidR="000D0AAD">
        <w:t xml:space="preserve">the </w:t>
      </w:r>
      <w:r w:rsidR="009E217E">
        <w:t>MD in the second exceeded month lower than the MD in the first exceeded month</w:t>
      </w:r>
    </w:p>
    <w:p w14:paraId="55F52CF8" w14:textId="6BD8E2AA" w:rsidR="009E217E" w:rsidRDefault="00D61A9C">
      <w:pPr>
        <w:pStyle w:val="ListParagraph"/>
        <w:numPr>
          <w:ilvl w:val="0"/>
          <w:numId w:val="18"/>
        </w:numPr>
      </w:pPr>
      <w:r>
        <w:t xml:space="preserve">Example 4 - </w:t>
      </w:r>
      <w:r w:rsidR="009E217E">
        <w:t>Max Demand exceeds MIC in two months</w:t>
      </w:r>
      <w:r w:rsidR="009E217E" w:rsidRPr="000D0AAD">
        <w:t xml:space="preserve">, </w:t>
      </w:r>
      <w:r w:rsidR="009E217E">
        <w:t>with the MD in the second exceeded month higher than the MD in the first exceeded month</w:t>
      </w:r>
    </w:p>
    <w:p w14:paraId="52A387C0" w14:textId="0B0EB0F7" w:rsidR="00274559" w:rsidRDefault="00D61A9C">
      <w:pPr>
        <w:pStyle w:val="ListParagraph"/>
        <w:numPr>
          <w:ilvl w:val="0"/>
          <w:numId w:val="18"/>
        </w:numPr>
      </w:pPr>
      <w:bookmarkStart w:id="17" w:name="_Hlk176418809"/>
      <w:r>
        <w:t xml:space="preserve">Example 5 - </w:t>
      </w:r>
      <w:r w:rsidR="009E217E">
        <w:t>Max Demand exceeds MIC</w:t>
      </w:r>
      <w:bookmarkEnd w:id="17"/>
      <w:r w:rsidR="009E217E">
        <w:t xml:space="preserve"> every month</w:t>
      </w:r>
      <w:r w:rsidR="00F1002A">
        <w:t>, with constant excess capacity</w:t>
      </w:r>
    </w:p>
    <w:p w14:paraId="030A5CDE" w14:textId="7132FE63" w:rsidR="00F1002A" w:rsidRDefault="00F1002A">
      <w:pPr>
        <w:pStyle w:val="ListParagraph"/>
        <w:numPr>
          <w:ilvl w:val="0"/>
          <w:numId w:val="18"/>
        </w:numPr>
      </w:pPr>
      <w:r w:rsidRPr="00F1002A">
        <w:lastRenderedPageBreak/>
        <w:t>Example 6 - Max Demand exceeds MIC every month, with variable excess capacity</w:t>
      </w:r>
    </w:p>
    <w:p w14:paraId="1B0822A4" w14:textId="64649CFD" w:rsidR="00061E66" w:rsidRDefault="00061E66" w:rsidP="00AC7CD6">
      <w:pPr>
        <w:pStyle w:val="ListParagraph"/>
        <w:ind w:left="426" w:hanging="142"/>
      </w:pPr>
      <w:r>
        <w:t>Examples 7 and 8 illus</w:t>
      </w:r>
      <w:r w:rsidR="0001062B">
        <w:t>tra</w:t>
      </w:r>
      <w:r>
        <w:t>te the impac</w:t>
      </w:r>
      <w:r w:rsidR="0001062B">
        <w:t>t</w:t>
      </w:r>
      <w:r>
        <w:t xml:space="preserve"> of the Working Group’s proposal for resetting exce</w:t>
      </w:r>
      <w:r w:rsidR="003E68DE">
        <w:t>ss capacity charges following a change of MIC.</w:t>
      </w:r>
    </w:p>
    <w:p w14:paraId="21755A63" w14:textId="5ED96A96" w:rsidR="00B32AB5" w:rsidRDefault="00D61A9C">
      <w:pPr>
        <w:pStyle w:val="ListParagraph"/>
        <w:numPr>
          <w:ilvl w:val="0"/>
          <w:numId w:val="18"/>
        </w:numPr>
      </w:pPr>
      <w:r>
        <w:t xml:space="preserve">Example </w:t>
      </w:r>
      <w:r w:rsidR="00F1002A">
        <w:t xml:space="preserve">7 </w:t>
      </w:r>
      <w:r>
        <w:t xml:space="preserve">- </w:t>
      </w:r>
      <w:r w:rsidR="009E217E">
        <w:t>Max Demand exceeds MIC</w:t>
      </w:r>
      <w:r w:rsidR="009E217E" w:rsidRPr="00B32AB5" w:rsidDel="009E217E">
        <w:t xml:space="preserve"> </w:t>
      </w:r>
      <w:r w:rsidR="00B32AB5" w:rsidRPr="00B32AB5">
        <w:t xml:space="preserve">in one month only, </w:t>
      </w:r>
      <w:r w:rsidR="00FA3711">
        <w:t>decrease in MIC in subsequent month</w:t>
      </w:r>
      <w:r w:rsidR="00F1002A">
        <w:t xml:space="preserve"> (note, in these circumstances a reduction in MIC would only be allowed where there has been a change in use or setup on site which is shown to have reduced capacity requirements)</w:t>
      </w:r>
    </w:p>
    <w:p w14:paraId="42E61950" w14:textId="60B1C8C3" w:rsidR="00BF2AE4" w:rsidRDefault="00D61A9C">
      <w:pPr>
        <w:pStyle w:val="ListParagraph"/>
        <w:numPr>
          <w:ilvl w:val="0"/>
          <w:numId w:val="18"/>
        </w:numPr>
      </w:pPr>
      <w:r>
        <w:t xml:space="preserve">Example </w:t>
      </w:r>
      <w:r w:rsidR="00F1002A">
        <w:t xml:space="preserve">8 </w:t>
      </w:r>
      <w:r>
        <w:t xml:space="preserve">- </w:t>
      </w:r>
      <w:r w:rsidR="00FA3711">
        <w:t>Max Demand exceeds MIC</w:t>
      </w:r>
      <w:r w:rsidR="00BF2AE4" w:rsidRPr="00BF2AE4">
        <w:t xml:space="preserve"> in one month only, </w:t>
      </w:r>
      <w:r w:rsidR="00FA3711">
        <w:t>increase in MIC</w:t>
      </w:r>
      <w:r w:rsidR="00BF2AE4" w:rsidRPr="00BF2AE4">
        <w:t xml:space="preserve"> </w:t>
      </w:r>
      <w:r w:rsidR="00FA3711">
        <w:t>in subsequent month</w:t>
      </w:r>
      <w:r w:rsidR="00BF3814">
        <w:t>.</w:t>
      </w:r>
    </w:p>
    <w:p w14:paraId="4F6A260B" w14:textId="26748F7F" w:rsidR="004259AC" w:rsidRPr="00875A34" w:rsidRDefault="00875A34" w:rsidP="00875A34">
      <w:pPr>
        <w:rPr>
          <w:b/>
          <w:u w:val="single"/>
        </w:rPr>
      </w:pPr>
      <w:r w:rsidRPr="00875A34">
        <w:rPr>
          <w:rFonts w:cs="Arial"/>
          <w:b/>
          <w:iCs/>
          <w:szCs w:val="20"/>
          <w:u w:val="single"/>
        </w:rPr>
        <w:t xml:space="preserve">Option </w:t>
      </w:r>
      <w:r w:rsidR="00BF3814">
        <w:rPr>
          <w:rFonts w:cs="Arial"/>
          <w:b/>
          <w:iCs/>
          <w:szCs w:val="20"/>
          <w:u w:val="single"/>
        </w:rPr>
        <w:t>B</w:t>
      </w:r>
      <w:r w:rsidRPr="00875A34">
        <w:rPr>
          <w:rFonts w:cs="Arial"/>
          <w:b/>
          <w:iCs/>
          <w:szCs w:val="20"/>
          <w:u w:val="single"/>
        </w:rPr>
        <w:t xml:space="preserve"> </w:t>
      </w:r>
      <w:r w:rsidR="00D05501" w:rsidRPr="00875A34">
        <w:rPr>
          <w:rFonts w:cs="Arial"/>
          <w:b/>
          <w:iCs/>
          <w:szCs w:val="20"/>
          <w:u w:val="single"/>
        </w:rPr>
        <w:t>Differential Tariff / Multiplier Approach</w:t>
      </w:r>
    </w:p>
    <w:p w14:paraId="43FF1597" w14:textId="7B975F84" w:rsidR="00F1002A" w:rsidRDefault="00F1002A" w:rsidP="00426F27">
      <w:pPr>
        <w:pStyle w:val="Heading2"/>
      </w:pPr>
      <w:r>
        <w:t>The Working Group considered if there are any alternative approaches</w:t>
      </w:r>
      <w:r w:rsidR="00426F27">
        <w:t>. One approach would be to reintroduce a d</w:t>
      </w:r>
      <w:r>
        <w:t>ifferential between the capacity tariff and excess capacity tariff.</w:t>
      </w:r>
      <w:r w:rsidR="00426F27">
        <w:t xml:space="preserve"> </w:t>
      </w:r>
    </w:p>
    <w:p w14:paraId="5FE31257" w14:textId="3C44D8C2" w:rsidR="00F1002A" w:rsidRDefault="00426F27" w:rsidP="00F1002A">
      <w:pPr>
        <w:pStyle w:val="Heading2"/>
      </w:pPr>
      <w:r>
        <w:t>This could be done</w:t>
      </w:r>
      <w:r w:rsidR="00F1002A">
        <w:t xml:space="preserve"> artificially e.g. doubling the excess capacity tariff in comparison to the capacity tariff</w:t>
      </w:r>
      <w:r>
        <w:t xml:space="preserve"> </w:t>
      </w:r>
      <w:r w:rsidRPr="00FA15F6">
        <w:t>(which is broadly the difference between the two charges when Customer Contributions was utilised)</w:t>
      </w:r>
      <w:r w:rsidR="00F1002A">
        <w:t xml:space="preserve">. However, </w:t>
      </w:r>
      <w:r>
        <w:t>i</w:t>
      </w:r>
      <w:r w:rsidRPr="00426F27">
        <w:t xml:space="preserve">t was noted that whatever solution is proposed needs to be cost reflective </w:t>
      </w:r>
      <w:r>
        <w:t xml:space="preserve">and </w:t>
      </w:r>
      <w:r w:rsidR="00F1002A">
        <w:t>it is not clear how this</w:t>
      </w:r>
      <w:r w:rsidR="00D05501">
        <w:t xml:space="preserve"> solution</w:t>
      </w:r>
      <w:r w:rsidR="00F1002A">
        <w:t xml:space="preserve"> would </w:t>
      </w:r>
      <w:r w:rsidR="00D05501">
        <w:t>align to the cost reflectivity principles</w:t>
      </w:r>
      <w:r w:rsidR="00F1002A">
        <w:t>.</w:t>
      </w:r>
    </w:p>
    <w:p w14:paraId="47C4BDB6" w14:textId="0EEFE29E" w:rsidR="00BF2AE4" w:rsidRPr="0097114C" w:rsidRDefault="00CF53AA" w:rsidP="0097114C">
      <w:pPr>
        <w:pStyle w:val="Heading2"/>
      </w:pPr>
      <w:r>
        <w:t>T</w:t>
      </w:r>
      <w:r w:rsidRPr="00CF53AA">
        <w:t xml:space="preserve">he Working Group </w:t>
      </w:r>
      <w:r w:rsidR="008A0A36">
        <w:t xml:space="preserve">sought </w:t>
      </w:r>
      <w:r w:rsidR="00642C4D">
        <w:t xml:space="preserve">views </w:t>
      </w:r>
      <w:r w:rsidR="00657D79">
        <w:t xml:space="preserve">on whether </w:t>
      </w:r>
      <w:r w:rsidR="00642C4D">
        <w:t>it is appropriate to reintroduce a differential between the capacity tariff and excess capacity tariff and how this could be done in a cost reflective way.</w:t>
      </w:r>
    </w:p>
    <w:p w14:paraId="4AC7888F" w14:textId="07074EF8" w:rsidR="00476B43" w:rsidRDefault="00642C4D" w:rsidP="00476B43">
      <w:pPr>
        <w:pStyle w:val="Heading2"/>
      </w:pPr>
      <w:r>
        <w:t xml:space="preserve">The CP only considered import capacity charges and did not include </w:t>
      </w:r>
      <w:r w:rsidR="00855F2C">
        <w:t>export</w:t>
      </w:r>
      <w:r>
        <w:t xml:space="preserve"> capacity charges. The working group </w:t>
      </w:r>
      <w:r w:rsidR="008A0A36">
        <w:t xml:space="preserve">sought </w:t>
      </w:r>
      <w:r>
        <w:t>views on whether excess capacity charges for export tariffs should also be considered.</w:t>
      </w:r>
      <w:r w:rsidR="00476B43">
        <w:t xml:space="preserve"> </w:t>
      </w:r>
    </w:p>
    <w:p w14:paraId="16F28578" w14:textId="11C116D4" w:rsidR="00642C4D" w:rsidRPr="00642C4D" w:rsidRDefault="00642C4D" w:rsidP="0031573B">
      <w:pPr>
        <w:pStyle w:val="Heading2"/>
      </w:pPr>
      <w:r>
        <w:t>Additionally</w:t>
      </w:r>
      <w:r w:rsidR="0031573B">
        <w:t>,</w:t>
      </w:r>
      <w:r>
        <w:t xml:space="preserve"> the EDCM has a different methodology for calculating capacity charges, which does not result in a differential between the capacity and excess capacity tariffs. The working group </w:t>
      </w:r>
      <w:r w:rsidR="008A0A36">
        <w:t>sought</w:t>
      </w:r>
      <w:r>
        <w:t xml:space="preserve"> views on whether this CP should</w:t>
      </w:r>
      <w:r w:rsidR="0031573B">
        <w:t xml:space="preserve"> consider the EDCM methodology as well as the CDCM methodology.</w:t>
      </w:r>
      <w:r>
        <w:t xml:space="preserve"> </w:t>
      </w:r>
    </w:p>
    <w:p w14:paraId="329C67E9" w14:textId="483802C2" w:rsidR="004B7ACD" w:rsidRDefault="001C2C3E" w:rsidP="00370BE5">
      <w:pPr>
        <w:pStyle w:val="Heading2"/>
        <w:keepNext w:val="0"/>
      </w:pPr>
      <w:r>
        <w:t xml:space="preserve">It was queried </w:t>
      </w:r>
      <w:r w:rsidR="00DB4E1C">
        <w:t>whether there would be any potential system changes required for this change</w:t>
      </w:r>
      <w:r w:rsidR="002933A2">
        <w:t xml:space="preserve">. It was noted that there would be system changes required </w:t>
      </w:r>
      <w:r w:rsidR="008E631E">
        <w:t xml:space="preserve">but the scale of these system changes would be dependent on </w:t>
      </w:r>
      <w:r w:rsidR="004C3469">
        <w:t xml:space="preserve">which </w:t>
      </w:r>
      <w:r w:rsidR="0031573B">
        <w:t>solution was used:</w:t>
      </w:r>
    </w:p>
    <w:p w14:paraId="2431DD80" w14:textId="4B5507E5" w:rsidR="0031573B" w:rsidRDefault="0031573B">
      <w:pPr>
        <w:pStyle w:val="Heading2"/>
        <w:keepNext w:val="0"/>
        <w:numPr>
          <w:ilvl w:val="0"/>
          <w:numId w:val="20"/>
        </w:numPr>
      </w:pPr>
      <w:r>
        <w:t>U</w:t>
      </w:r>
      <w:r w:rsidR="00EC44EA">
        <w:t xml:space="preserve">sing the highest MD in the preceding 12 months </w:t>
      </w:r>
      <w:r>
        <w:t xml:space="preserve">would require changes to the way the billing systems calculate the excess capacity each month, as it would need to look at the MD in the preceding 12 months not just in the current billing period. </w:t>
      </w:r>
    </w:p>
    <w:p w14:paraId="1C9545D2" w14:textId="4068F2C2" w:rsidR="004B7ACD" w:rsidRDefault="0031573B">
      <w:pPr>
        <w:pStyle w:val="Heading2"/>
        <w:keepNext w:val="0"/>
        <w:numPr>
          <w:ilvl w:val="0"/>
          <w:numId w:val="20"/>
        </w:numPr>
      </w:pPr>
      <w:r>
        <w:t xml:space="preserve">Reintroducing </w:t>
      </w:r>
      <w:r w:rsidR="00855F2C">
        <w:t>a</w:t>
      </w:r>
      <w:r w:rsidR="00284D5F">
        <w:t xml:space="preserve"> </w:t>
      </w:r>
      <w:r>
        <w:t>differential between the capacity and excess capacity tariffs would not require any system changes, as it only changes the value of the tariff to be uploaded into the system.</w:t>
      </w:r>
    </w:p>
    <w:p w14:paraId="1CB8A05D" w14:textId="7F8B2C42" w:rsidR="00870F0E" w:rsidRDefault="00342AAC" w:rsidP="00C67834">
      <w:pPr>
        <w:pStyle w:val="Heading2"/>
        <w:keepNext w:val="0"/>
      </w:pPr>
      <w:r>
        <w:t xml:space="preserve">The Working Group </w:t>
      </w:r>
      <w:r w:rsidR="008A0A36">
        <w:t xml:space="preserve">sought </w:t>
      </w:r>
      <w:r w:rsidR="0031573B">
        <w:t>views on whether any system changes would be required for the solutions proposed.</w:t>
      </w:r>
    </w:p>
    <w:p w14:paraId="34979956" w14:textId="5D34D337" w:rsidR="004B7ACD" w:rsidRDefault="00AA548E" w:rsidP="004B7ACD">
      <w:pPr>
        <w:pStyle w:val="Heading2"/>
        <w:keepNext w:val="0"/>
      </w:pPr>
      <w:r>
        <w:lastRenderedPageBreak/>
        <w:t xml:space="preserve">It was noted that the point of increasing this charge was to </w:t>
      </w:r>
      <w:r w:rsidR="00855F2C">
        <w:t xml:space="preserve">incentivise </w:t>
      </w:r>
      <w:r w:rsidR="005D2623">
        <w:t xml:space="preserve">the correct customer behaviour which would </w:t>
      </w:r>
      <w:r w:rsidR="00855F2C">
        <w:t xml:space="preserve">lead to </w:t>
      </w:r>
      <w:r w:rsidR="005D2623">
        <w:t xml:space="preserve">more efficiency </w:t>
      </w:r>
      <w:r w:rsidR="001019BE">
        <w:t>and</w:t>
      </w:r>
      <w:r w:rsidR="005D2623">
        <w:t xml:space="preserve"> </w:t>
      </w:r>
      <w:r w:rsidR="001019BE">
        <w:t xml:space="preserve">to </w:t>
      </w:r>
      <w:r w:rsidR="0069714A">
        <w:t xml:space="preserve">protect other customers from being impacted by a site exceeding their </w:t>
      </w:r>
      <w:r w:rsidR="00DA0052">
        <w:t xml:space="preserve">capacity </w:t>
      </w:r>
    </w:p>
    <w:p w14:paraId="6686BAA1" w14:textId="51618354" w:rsidR="004B7ACD" w:rsidRDefault="00DA0052" w:rsidP="00B14C52">
      <w:pPr>
        <w:pStyle w:val="Heading2"/>
        <w:keepNext w:val="0"/>
      </w:pPr>
      <w:r>
        <w:t xml:space="preserve">The Working Group </w:t>
      </w:r>
      <w:r w:rsidR="008A0A36">
        <w:t xml:space="preserve">sought </w:t>
      </w:r>
      <w:r>
        <w:t xml:space="preserve">views </w:t>
      </w:r>
      <w:r w:rsidR="00B14C52">
        <w:t>from parties as to what the potential customer impacts could be if this CP were to be approved.</w:t>
      </w:r>
    </w:p>
    <w:p w14:paraId="28649264" w14:textId="56B9CFB5" w:rsidR="004B7ACD" w:rsidRDefault="003419A6" w:rsidP="004B7ACD">
      <w:pPr>
        <w:pStyle w:val="Heading2"/>
        <w:keepNext w:val="0"/>
      </w:pPr>
      <w:r>
        <w:t xml:space="preserve">A Working Group member </w:t>
      </w:r>
      <w:r w:rsidR="0021037E">
        <w:t>qu</w:t>
      </w:r>
      <w:r w:rsidR="00C25081">
        <w:t>e</w:t>
      </w:r>
      <w:r w:rsidR="0021037E">
        <w:t>r</w:t>
      </w:r>
      <w:r w:rsidR="00C25081">
        <w:t>i</w:t>
      </w:r>
      <w:r w:rsidR="0021037E">
        <w:t>ed if there</w:t>
      </w:r>
      <w:r w:rsidR="00657D79">
        <w:t xml:space="preserve"> would</w:t>
      </w:r>
      <w:r w:rsidR="0021037E">
        <w:t xml:space="preserve"> be any other unintended </w:t>
      </w:r>
      <w:r w:rsidR="004F253A">
        <w:t>consequences of</w:t>
      </w:r>
      <w:r w:rsidR="0021037E">
        <w:t xml:space="preserve"> </w:t>
      </w:r>
      <w:r w:rsidR="003B4246">
        <w:t>changing the basis of</w:t>
      </w:r>
      <w:r w:rsidR="00934802">
        <w:t xml:space="preserve"> charging excess capacity.</w:t>
      </w:r>
    </w:p>
    <w:p w14:paraId="5A56BE23" w14:textId="26C1EC66" w:rsidR="004B7ACD" w:rsidRDefault="00934802" w:rsidP="003729E4">
      <w:pPr>
        <w:pStyle w:val="Heading2"/>
        <w:keepNext w:val="0"/>
      </w:pPr>
      <w:r>
        <w:t xml:space="preserve">The Working Group </w:t>
      </w:r>
      <w:r w:rsidR="00630CE0">
        <w:t xml:space="preserve">were not aware of any </w:t>
      </w:r>
      <w:r w:rsidR="00657D79">
        <w:t xml:space="preserve">unintended consequences </w:t>
      </w:r>
      <w:r w:rsidR="00630CE0">
        <w:t xml:space="preserve">but </w:t>
      </w:r>
      <w:r w:rsidR="008A0A36">
        <w:t xml:space="preserve">sought </w:t>
      </w:r>
      <w:r w:rsidR="00C25081">
        <w:t>views</w:t>
      </w:r>
      <w:r w:rsidR="00630CE0">
        <w:t xml:space="preserve"> on </w:t>
      </w:r>
      <w:r w:rsidR="00657D79">
        <w:t xml:space="preserve">whether any Party </w:t>
      </w:r>
      <w:r w:rsidR="008A0A36">
        <w:t>was</w:t>
      </w:r>
      <w:r w:rsidR="00657D79">
        <w:t xml:space="preserve"> aware of any unintended consequences </w:t>
      </w:r>
      <w:r w:rsidR="003B4246">
        <w:t>of changing the basis of</w:t>
      </w:r>
      <w:r w:rsidR="00657D79">
        <w:t>, as this</w:t>
      </w:r>
      <w:r w:rsidR="00630CE0">
        <w:t xml:space="preserve"> would help to inform the solutio</w:t>
      </w:r>
      <w:r w:rsidR="00E07431">
        <w:t>n</w:t>
      </w:r>
      <w:r w:rsidR="003729E4">
        <w:t>.</w:t>
      </w:r>
    </w:p>
    <w:p w14:paraId="6E9B9542" w14:textId="3EF6DAED" w:rsidR="00812404" w:rsidRDefault="00C25081" w:rsidP="001859F6">
      <w:pPr>
        <w:pStyle w:val="Heading2"/>
        <w:keepNext w:val="0"/>
      </w:pPr>
      <w:r>
        <w:t>One reason for raising this CP is the Proposer</w:t>
      </w:r>
      <w:r w:rsidR="00976A5A">
        <w:t>’</w:t>
      </w:r>
      <w:r>
        <w:t xml:space="preserve">s concern that without a stronger disincentive to exceed the MIC, more sites could exceed their MIC in the future, which could have consequences for other customers connected to the network and for Network Planning. </w:t>
      </w:r>
    </w:p>
    <w:p w14:paraId="0A7F3E39" w14:textId="45E01D2A" w:rsidR="001859F6" w:rsidRDefault="00C25081" w:rsidP="001859F6">
      <w:pPr>
        <w:pStyle w:val="Heading2"/>
        <w:keepNext w:val="0"/>
      </w:pPr>
      <w:r>
        <w:t xml:space="preserve">The Working Group considered what the impacts to industry would be </w:t>
      </w:r>
      <w:r w:rsidR="00F04401">
        <w:t>i</w:t>
      </w:r>
      <w:r w:rsidR="0038482F">
        <w:t>f</w:t>
      </w:r>
      <w:r w:rsidR="00F04401">
        <w:t xml:space="preserve"> </w:t>
      </w:r>
      <w:r w:rsidR="00515AF1">
        <w:t>large numbers of customers exceed</w:t>
      </w:r>
      <w:r w:rsidR="00CD3322">
        <w:t>ed</w:t>
      </w:r>
      <w:r w:rsidR="00515AF1">
        <w:t xml:space="preserve"> their MIC, </w:t>
      </w:r>
      <w:r w:rsidR="00BA36C0">
        <w:t xml:space="preserve">in terms of reinforcement </w:t>
      </w:r>
      <w:r w:rsidR="00CD3322">
        <w:t xml:space="preserve">plans </w:t>
      </w:r>
      <w:r w:rsidR="004B0AA7">
        <w:t>and network</w:t>
      </w:r>
      <w:r w:rsidR="00654765">
        <w:t xml:space="preserve"> services</w:t>
      </w:r>
      <w:r w:rsidR="00F04401">
        <w:t xml:space="preserve"> to Distributors</w:t>
      </w:r>
      <w:r>
        <w:t xml:space="preserve">. </w:t>
      </w:r>
    </w:p>
    <w:p w14:paraId="1D5D88CD" w14:textId="60CF70ED" w:rsidR="008A0A36" w:rsidRDefault="00A02217" w:rsidP="008A0A36">
      <w:pPr>
        <w:pStyle w:val="Heading2"/>
        <w:keepNext w:val="0"/>
      </w:pPr>
      <w:r>
        <w:t xml:space="preserve">The Working Group were not clear on what these impacts could be so </w:t>
      </w:r>
      <w:r w:rsidR="008A0A36">
        <w:t xml:space="preserve">sought </w:t>
      </w:r>
      <w:r>
        <w:t>Party views</w:t>
      </w:r>
      <w:r w:rsidR="0001585C">
        <w:t xml:space="preserve"> on whether there would be impacts/consequences </w:t>
      </w:r>
      <w:r w:rsidR="004B14D7">
        <w:t xml:space="preserve">to short and </w:t>
      </w:r>
      <w:r w:rsidR="000422F4">
        <w:t>long-term</w:t>
      </w:r>
      <w:r w:rsidR="004B14D7">
        <w:t xml:space="preserve"> planning and or services if large numbers of customers continued to exceed their MIC.</w:t>
      </w:r>
    </w:p>
    <w:p w14:paraId="60988D44" w14:textId="0D42CA7A" w:rsidR="00875A34" w:rsidRPr="00875A34" w:rsidRDefault="00875A34" w:rsidP="00875A34">
      <w:pPr>
        <w:rPr>
          <w:b/>
          <w:bCs/>
        </w:rPr>
      </w:pPr>
      <w:r w:rsidRPr="00BB618A">
        <w:rPr>
          <w:b/>
          <w:bCs/>
        </w:rPr>
        <w:t xml:space="preserve">Option C – </w:t>
      </w:r>
      <w:r w:rsidRPr="001019BE">
        <w:rPr>
          <w:b/>
          <w:bCs/>
        </w:rPr>
        <w:t>Model-Integrated Differential Approach</w:t>
      </w:r>
    </w:p>
    <w:p w14:paraId="7A341380" w14:textId="16DD4E65" w:rsidR="00D05501" w:rsidRPr="00D05501" w:rsidRDefault="00D05501" w:rsidP="00D05501">
      <w:pPr>
        <w:pStyle w:val="Heading2"/>
      </w:pPr>
      <w:r>
        <w:t>A third solution was suggested post the consultation and post taking advice from the modelling consultants at CEPA/TNEI, which was is explained in paragraph 1.6 of this consultation document.</w:t>
      </w:r>
    </w:p>
    <w:p w14:paraId="22B63AFB" w14:textId="31B41243" w:rsidR="008A0A36" w:rsidRPr="008A0A36" w:rsidRDefault="008A0A36" w:rsidP="008A0A36">
      <w:pPr>
        <w:pStyle w:val="Heading02"/>
      </w:pPr>
      <w:r>
        <w:t>Consultation 1</w:t>
      </w:r>
    </w:p>
    <w:p w14:paraId="2C15C1AB" w14:textId="115ED16C" w:rsidR="008A0A36" w:rsidRPr="00A9038F" w:rsidRDefault="008A0A36">
      <w:pPr>
        <w:pStyle w:val="ListParagraph"/>
        <w:numPr>
          <w:ilvl w:val="1"/>
          <w:numId w:val="21"/>
        </w:numPr>
      </w:pPr>
      <w:r w:rsidRPr="006D0800">
        <w:t xml:space="preserve">The Working Group undertook </w:t>
      </w:r>
      <w:r w:rsidR="00D05501">
        <w:t>an initial</w:t>
      </w:r>
      <w:r w:rsidRPr="006D0800">
        <w:t xml:space="preserve"> consultation </w:t>
      </w:r>
      <w:r w:rsidR="00D05501">
        <w:t xml:space="preserve">top seek party views on </w:t>
      </w:r>
      <w:r w:rsidRPr="006D0800">
        <w:t>the change proposal.</w:t>
      </w:r>
    </w:p>
    <w:p w14:paraId="59B3861A" w14:textId="77777777" w:rsidR="008A0A36" w:rsidRPr="00546013" w:rsidRDefault="008A0A36" w:rsidP="008A0A36">
      <w:pPr>
        <w:pStyle w:val="ListParagraph"/>
        <w:ind w:left="360"/>
        <w:rPr>
          <w:b/>
          <w:bCs/>
          <w:color w:val="008576"/>
          <w:u w:val="single"/>
        </w:rPr>
      </w:pPr>
      <w:bookmarkStart w:id="18" w:name="_Hlk172732453"/>
      <w:r w:rsidRPr="00546013">
        <w:rPr>
          <w:b/>
          <w:bCs/>
          <w:color w:val="008576"/>
          <w:u w:val="single"/>
        </w:rPr>
        <w:t>Consultation</w:t>
      </w:r>
    </w:p>
    <w:bookmarkEnd w:id="18"/>
    <w:p w14:paraId="572C6A23" w14:textId="77777777" w:rsidR="008A0A36" w:rsidRDefault="008A0A36">
      <w:pPr>
        <w:pStyle w:val="ListParagraph"/>
        <w:numPr>
          <w:ilvl w:val="1"/>
          <w:numId w:val="21"/>
        </w:numPr>
      </w:pPr>
      <w:r w:rsidRPr="00A9038F">
        <w:t>The consultation was issued to parties on 1</w:t>
      </w:r>
      <w:r>
        <w:t>3</w:t>
      </w:r>
      <w:r w:rsidRPr="00A9038F">
        <w:t xml:space="preserve"> </w:t>
      </w:r>
      <w:r>
        <w:t>September</w:t>
      </w:r>
      <w:r w:rsidRPr="00A9038F">
        <w:t xml:space="preserve"> 202</w:t>
      </w:r>
      <w:r>
        <w:t>4</w:t>
      </w:r>
      <w:r w:rsidRPr="00A9038F">
        <w:t xml:space="preserve">. There were </w:t>
      </w:r>
      <w:r>
        <w:t>nine</w:t>
      </w:r>
      <w:r w:rsidRPr="00A9038F">
        <w:t xml:space="preserve"> responses received to the consultation. The Working Group’s conclusions can be found </w:t>
      </w:r>
      <w:r w:rsidRPr="00872ED3">
        <w:t xml:space="preserve">in </w:t>
      </w:r>
      <w:r w:rsidRPr="00872ED3">
        <w:rPr>
          <w:b/>
          <w:bCs/>
        </w:rPr>
        <w:t xml:space="preserve">Attachment </w:t>
      </w:r>
      <w:r>
        <w:rPr>
          <w:b/>
          <w:bCs/>
        </w:rPr>
        <w:t>4</w:t>
      </w:r>
      <w:r w:rsidRPr="00872ED3">
        <w:rPr>
          <w:b/>
          <w:bCs/>
        </w:rPr>
        <w:t xml:space="preserve"> DCP 4</w:t>
      </w:r>
      <w:r>
        <w:rPr>
          <w:b/>
          <w:bCs/>
        </w:rPr>
        <w:t>43</w:t>
      </w:r>
      <w:r w:rsidRPr="00872ED3">
        <w:rPr>
          <w:b/>
          <w:bCs/>
        </w:rPr>
        <w:t xml:space="preserve"> Consolidated Consultation Responses</w:t>
      </w:r>
      <w:r w:rsidRPr="00872ED3">
        <w:t>, with a summary of</w:t>
      </w:r>
      <w:r w:rsidRPr="00A9038F">
        <w:t xml:space="preserve"> each shown below.</w:t>
      </w:r>
    </w:p>
    <w:tbl>
      <w:tblPr>
        <w:tblStyle w:val="TableList2"/>
        <w:tblW w:w="0" w:type="auto"/>
        <w:tblLook w:val="04A0" w:firstRow="1" w:lastRow="0" w:firstColumn="1" w:lastColumn="0" w:noHBand="0" w:noVBand="1"/>
      </w:tblPr>
      <w:tblGrid>
        <w:gridCol w:w="9026"/>
      </w:tblGrid>
      <w:tr w:rsidR="008A0A36" w:rsidRPr="00B50322" w14:paraId="34123D83"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DF0A09F" w14:textId="77777777" w:rsidR="008A0A36" w:rsidRDefault="008A0A36" w:rsidP="00C90B56">
            <w:pPr>
              <w:jc w:val="both"/>
              <w:rPr>
                <w:b w:val="0"/>
                <w:bCs w:val="0"/>
              </w:rPr>
            </w:pPr>
            <w:bookmarkStart w:id="19" w:name="_Hlk197866096"/>
            <w:bookmarkStart w:id="20" w:name="_Hlk197866111"/>
            <w:r>
              <w:t xml:space="preserve">Q1: </w:t>
            </w:r>
            <w:r w:rsidRPr="00201B13">
              <w:rPr>
                <w:color w:val="FFFFFF" w:themeColor="background1"/>
              </w:rPr>
              <w:t>Do you understand the intent of the Change Proposal?</w:t>
            </w:r>
          </w:p>
          <w:bookmarkEnd w:id="19"/>
          <w:p w14:paraId="734EE0C8" w14:textId="77777777" w:rsidR="008A0A36" w:rsidRPr="00B50322" w:rsidRDefault="008A0A36" w:rsidP="00C90B56">
            <w:pPr>
              <w:jc w:val="both"/>
              <w:rPr>
                <w:szCs w:val="20"/>
              </w:rPr>
            </w:pPr>
            <w:r>
              <w:t xml:space="preserve">Q2: </w:t>
            </w:r>
            <w:r w:rsidRPr="00546013">
              <w:t>Are you supportive of the principles of this Change Proposal?</w:t>
            </w:r>
          </w:p>
        </w:tc>
      </w:tr>
    </w:tbl>
    <w:bookmarkEnd w:id="20"/>
    <w:p w14:paraId="3ACE90F3" w14:textId="77777777" w:rsidR="008A0A36" w:rsidRDefault="008A0A36">
      <w:pPr>
        <w:pStyle w:val="ListParagraph"/>
        <w:numPr>
          <w:ilvl w:val="1"/>
          <w:numId w:val="21"/>
        </w:numPr>
      </w:pPr>
      <w:r>
        <w:t>All nine respondents said they understood the intent of the CP.</w:t>
      </w:r>
    </w:p>
    <w:p w14:paraId="219B8342" w14:textId="77777777" w:rsidR="008A0A36" w:rsidRDefault="008A0A36">
      <w:pPr>
        <w:pStyle w:val="ListParagraph"/>
        <w:numPr>
          <w:ilvl w:val="1"/>
          <w:numId w:val="21"/>
        </w:numPr>
      </w:pPr>
      <w:r>
        <w:lastRenderedPageBreak/>
        <w:t>Whilst all nine respondents supported the principles of the CP, one respondent stated that they did not</w:t>
      </w:r>
      <w:r w:rsidRPr="00693BE4">
        <w:t xml:space="preserve"> agree that changes should be made to the customers MIC for the forthcoming 12 months where they have exceeded their capacity for a short period</w:t>
      </w:r>
      <w:r>
        <w:t>.</w:t>
      </w:r>
    </w:p>
    <w:p w14:paraId="660751AB" w14:textId="77777777" w:rsidR="008A0A36" w:rsidRDefault="008A0A36">
      <w:pPr>
        <w:pStyle w:val="ListParagraph"/>
        <w:numPr>
          <w:ilvl w:val="1"/>
          <w:numId w:val="21"/>
        </w:numPr>
      </w:pPr>
      <w:r>
        <w:t>They went on to say in scenarios where</w:t>
      </w:r>
      <w:r w:rsidRPr="00472184">
        <w:t xml:space="preserve"> a customer exce</w:t>
      </w:r>
      <w:r>
        <w:t>eds</w:t>
      </w:r>
      <w:r w:rsidRPr="00472184">
        <w:t xml:space="preserve"> their capacity once within a 12-month period, t</w:t>
      </w:r>
      <w:r>
        <w:t>hey</w:t>
      </w:r>
      <w:r w:rsidRPr="00472184">
        <w:t xml:space="preserve"> believe</w:t>
      </w:r>
      <w:r>
        <w:t>d</w:t>
      </w:r>
      <w:r w:rsidRPr="00472184">
        <w:t xml:space="preserve"> that the customer should pay the current excess capacity charges. However, they should be advised at that point that should they exceed their capacity again, within that 12-month period, then an assessment </w:t>
      </w:r>
      <w:r>
        <w:t>should</w:t>
      </w:r>
      <w:r w:rsidRPr="00472184">
        <w:t xml:space="preserve"> be completed and their capacity be increased, with the relevant charges being applied. This will incentivise the customer to remain within their agreed capacity.</w:t>
      </w:r>
    </w:p>
    <w:tbl>
      <w:tblPr>
        <w:tblStyle w:val="TableList2"/>
        <w:tblW w:w="0" w:type="auto"/>
        <w:tblLook w:val="04A0" w:firstRow="1" w:lastRow="0" w:firstColumn="1" w:lastColumn="0" w:noHBand="0" w:noVBand="1"/>
      </w:tblPr>
      <w:tblGrid>
        <w:gridCol w:w="9026"/>
      </w:tblGrid>
      <w:tr w:rsidR="008A0A36" w:rsidRPr="00B50322" w14:paraId="2096129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1D4ED08" w14:textId="77777777" w:rsidR="008A0A36" w:rsidRPr="00546013" w:rsidRDefault="008A0A36" w:rsidP="00C90B56">
            <w:pPr>
              <w:jc w:val="both"/>
              <w:rPr>
                <w:b w:val="0"/>
                <w:bCs w:val="0"/>
              </w:rPr>
            </w:pPr>
            <w:bookmarkStart w:id="21" w:name="_Hlk197869137"/>
            <w:r>
              <w:t xml:space="preserve">Q3: </w:t>
            </w:r>
            <w:r w:rsidRPr="002B4013">
              <w:t>Do you believe that the proposed solution of charging excess capacity charges each month based on the MD in the previous 12 months is suitable? Please provide rationale.</w:t>
            </w:r>
          </w:p>
        </w:tc>
      </w:tr>
    </w:tbl>
    <w:bookmarkEnd w:id="21"/>
    <w:p w14:paraId="3853032B" w14:textId="77777777" w:rsidR="008A0A36" w:rsidRDefault="008A0A36">
      <w:pPr>
        <w:pStyle w:val="ListParagraph"/>
        <w:numPr>
          <w:ilvl w:val="1"/>
          <w:numId w:val="21"/>
        </w:numPr>
      </w:pPr>
      <w:r>
        <w:t>Six responders stated that they believed s solution of charging excess capacity charges based on the highest MD for the previous months could drive more optimal customer behaviour.</w:t>
      </w:r>
    </w:p>
    <w:p w14:paraId="63AD4ED4" w14:textId="77777777" w:rsidR="008A0A36" w:rsidRDefault="008A0A36">
      <w:pPr>
        <w:pStyle w:val="ListParagraph"/>
        <w:numPr>
          <w:ilvl w:val="1"/>
          <w:numId w:val="21"/>
        </w:numPr>
      </w:pPr>
      <w:r>
        <w:t>A number of those who agreed however did caveat their response by stating that they didn’t think that one off exceeders should be penalised for 12 months.</w:t>
      </w:r>
    </w:p>
    <w:p w14:paraId="0AB5FC6D" w14:textId="77777777" w:rsidR="008A0A36" w:rsidRDefault="008A0A36">
      <w:pPr>
        <w:pStyle w:val="ListParagraph"/>
        <w:numPr>
          <w:ilvl w:val="1"/>
          <w:numId w:val="21"/>
        </w:numPr>
      </w:pPr>
      <w:r>
        <w:t>Another who believed the solution could drive more optimal behaviour also stated they’d like to see further analysis on alternative solutions.</w:t>
      </w:r>
    </w:p>
    <w:p w14:paraId="02A19A2C" w14:textId="77777777" w:rsidR="008A0A36" w:rsidRDefault="008A0A36">
      <w:pPr>
        <w:pStyle w:val="ListParagraph"/>
        <w:numPr>
          <w:ilvl w:val="1"/>
          <w:numId w:val="21"/>
        </w:numPr>
      </w:pPr>
      <w:r>
        <w:t>This responder also queried if charging the excess capacity for 12 months was a strong enough pricing message and asked if the period for charging the excess should be longer than 12 months.</w:t>
      </w:r>
    </w:p>
    <w:p w14:paraId="0CA442C9" w14:textId="77777777" w:rsidR="008A0A36" w:rsidRDefault="008A0A36">
      <w:pPr>
        <w:pStyle w:val="ListParagraph"/>
        <w:numPr>
          <w:ilvl w:val="1"/>
          <w:numId w:val="21"/>
        </w:numPr>
      </w:pPr>
      <w:r>
        <w:t>Another noted that cost reflectivity may be an issue as the process would lead to sites being charged for excess capacity for months where there was no exceedance.</w:t>
      </w:r>
    </w:p>
    <w:p w14:paraId="14A2C05D" w14:textId="77777777" w:rsidR="008A0A36" w:rsidRDefault="008A0A36">
      <w:pPr>
        <w:pStyle w:val="ListParagraph"/>
        <w:numPr>
          <w:ilvl w:val="1"/>
          <w:numId w:val="21"/>
        </w:numPr>
      </w:pPr>
      <w:r>
        <w:t>Two responders stated they didn’t believe the solution was suitable.</w:t>
      </w:r>
    </w:p>
    <w:p w14:paraId="42BA61C1" w14:textId="77777777" w:rsidR="008A0A36" w:rsidRDefault="008A0A36">
      <w:pPr>
        <w:pStyle w:val="ListParagraph"/>
        <w:numPr>
          <w:ilvl w:val="1"/>
          <w:numId w:val="21"/>
        </w:numPr>
      </w:pPr>
      <w:r>
        <w:t>One noted that for sites that repeatedly exceed their capacity, charging the excess for 12 months wouldn’t really be an incentive to remain within their MIC as they’d be already paying for the excess capacity anyway</w:t>
      </w:r>
    </w:p>
    <w:p w14:paraId="0344F9A1" w14:textId="77777777" w:rsidR="008A0A36" w:rsidRDefault="008A0A36">
      <w:pPr>
        <w:pStyle w:val="ListParagraph"/>
        <w:numPr>
          <w:ilvl w:val="1"/>
          <w:numId w:val="21"/>
        </w:numPr>
      </w:pPr>
      <w:r>
        <w:t>They also went on to note that the solution could penalise customer on a change of tenancy as they would be paying for the excess capacity which may have been caused by the previous occupier.</w:t>
      </w:r>
    </w:p>
    <w:p w14:paraId="08293C74" w14:textId="3A34C863" w:rsidR="008A0A36" w:rsidRDefault="001019BE">
      <w:pPr>
        <w:pStyle w:val="ListParagraph"/>
        <w:numPr>
          <w:ilvl w:val="1"/>
          <w:numId w:val="21"/>
        </w:numPr>
      </w:pPr>
      <w:r>
        <w:t>Finally,</w:t>
      </w:r>
      <w:r w:rsidR="008A0A36">
        <w:t xml:space="preserve"> they stated that it didn’t feel fair that a site who exceeds their capacity once should be charged for this for the next 12 months.</w:t>
      </w:r>
    </w:p>
    <w:p w14:paraId="3100F301" w14:textId="77777777" w:rsidR="008A0A36" w:rsidRDefault="008A0A36">
      <w:pPr>
        <w:pStyle w:val="ListParagraph"/>
        <w:numPr>
          <w:ilvl w:val="1"/>
          <w:numId w:val="21"/>
        </w:numPr>
      </w:pPr>
      <w:r>
        <w:t xml:space="preserve">The other responder who felt this solution wasn’t suitable stated that the change would lead to substantial changes to systems and process and that they preferred </w:t>
      </w:r>
      <w:r w:rsidRPr="00571F9F">
        <w:t>the approach that reintroduces the differential between the capacity tariff and excess capacity tariff</w:t>
      </w:r>
      <w:r>
        <w:t>.</w:t>
      </w:r>
    </w:p>
    <w:p w14:paraId="0C773510" w14:textId="77777777" w:rsidR="008A0A36" w:rsidRDefault="008A0A36">
      <w:pPr>
        <w:pStyle w:val="ListParagraph"/>
        <w:numPr>
          <w:ilvl w:val="1"/>
          <w:numId w:val="21"/>
        </w:numPr>
      </w:pPr>
      <w:r>
        <w:t xml:space="preserve">One responder stated that whilst they believed there needed to be an incentive to stop customers exceeding their capacity, they were </w:t>
      </w:r>
      <w:r w:rsidRPr="000C5B6E">
        <w:t>unable to assess whether charging the excess for a full 12 months is reasonable and costs reflective</w:t>
      </w:r>
      <w:r>
        <w:t>.</w:t>
      </w:r>
    </w:p>
    <w:tbl>
      <w:tblPr>
        <w:tblStyle w:val="TableList2"/>
        <w:tblW w:w="0" w:type="auto"/>
        <w:tblLook w:val="04A0" w:firstRow="1" w:lastRow="0" w:firstColumn="1" w:lastColumn="0" w:noHBand="0" w:noVBand="1"/>
      </w:tblPr>
      <w:tblGrid>
        <w:gridCol w:w="9026"/>
      </w:tblGrid>
      <w:tr w:rsidR="008A0A36" w:rsidRPr="00B50322" w14:paraId="06804DE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43B6AE2" w14:textId="77777777" w:rsidR="008A0A36" w:rsidRPr="00546013" w:rsidRDefault="008A0A36" w:rsidP="00C90B56">
            <w:pPr>
              <w:jc w:val="both"/>
              <w:rPr>
                <w:b w:val="0"/>
                <w:bCs w:val="0"/>
              </w:rPr>
            </w:pPr>
            <w:bookmarkStart w:id="22" w:name="_Hlk197870309"/>
            <w:r>
              <w:lastRenderedPageBreak/>
              <w:t xml:space="preserve">Q4: </w:t>
            </w:r>
            <w:r w:rsidRPr="00117BD6">
              <w:t>Would an alternative process that reintroduces the differential between the capacity tariff and excess capacity tariff be a more suitable solution e.g. by doubling the excess capacity tariff? Is there a cost reflective way to do this? Please provide details and rationale.</w:t>
            </w:r>
          </w:p>
        </w:tc>
      </w:tr>
    </w:tbl>
    <w:bookmarkEnd w:id="22"/>
    <w:p w14:paraId="0339B1B9" w14:textId="77777777" w:rsidR="008A0A36" w:rsidRDefault="008A0A36">
      <w:pPr>
        <w:pStyle w:val="ListParagraph"/>
        <w:numPr>
          <w:ilvl w:val="1"/>
          <w:numId w:val="21"/>
        </w:numPr>
      </w:pPr>
      <w:r>
        <w:t xml:space="preserve">One responder stated that they believed that the solution offered within question 3 was the most appropriate approach. </w:t>
      </w:r>
    </w:p>
    <w:p w14:paraId="5763C406" w14:textId="77777777" w:rsidR="008A0A36" w:rsidRDefault="008A0A36">
      <w:pPr>
        <w:pStyle w:val="ListParagraph"/>
        <w:numPr>
          <w:ilvl w:val="1"/>
          <w:numId w:val="21"/>
        </w:numPr>
      </w:pPr>
      <w:r>
        <w:t>Another responder state that the alternative solution could potentially be more suitable,</w:t>
      </w:r>
      <w:r w:rsidRPr="00796739">
        <w:t xml:space="preserve"> but </w:t>
      </w:r>
      <w:r>
        <w:t xml:space="preserve">they </w:t>
      </w:r>
      <w:r w:rsidRPr="00796739">
        <w:t xml:space="preserve">would need </w:t>
      </w:r>
      <w:r>
        <w:t xml:space="preserve">to see </w:t>
      </w:r>
      <w:r w:rsidRPr="00796739">
        <w:t>more analysis</w:t>
      </w:r>
      <w:r>
        <w:t xml:space="preserve"> before committing further</w:t>
      </w:r>
      <w:r w:rsidRPr="00796739">
        <w:t>.</w:t>
      </w:r>
    </w:p>
    <w:p w14:paraId="2963EE67" w14:textId="77777777" w:rsidR="008A0A36" w:rsidRDefault="008A0A36">
      <w:pPr>
        <w:pStyle w:val="ListParagraph"/>
        <w:numPr>
          <w:ilvl w:val="1"/>
          <w:numId w:val="21"/>
        </w:numPr>
      </w:pPr>
      <w:r>
        <w:t>The other seven responders said that this could be a suitable solution however, most noted that the process would have to be cost reflective and had reservations on whether this were possible.</w:t>
      </w:r>
    </w:p>
    <w:tbl>
      <w:tblPr>
        <w:tblStyle w:val="TableList2"/>
        <w:tblW w:w="0" w:type="auto"/>
        <w:tblLook w:val="04A0" w:firstRow="1" w:lastRow="0" w:firstColumn="1" w:lastColumn="0" w:noHBand="0" w:noVBand="1"/>
      </w:tblPr>
      <w:tblGrid>
        <w:gridCol w:w="9026"/>
      </w:tblGrid>
      <w:tr w:rsidR="008A0A36" w:rsidRPr="00B50322" w14:paraId="7E03484B"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9BDB630" w14:textId="77777777" w:rsidR="008A0A36" w:rsidRPr="00546013" w:rsidRDefault="008A0A36" w:rsidP="00C90B56">
            <w:pPr>
              <w:jc w:val="both"/>
              <w:rPr>
                <w:b w:val="0"/>
                <w:bCs w:val="0"/>
              </w:rPr>
            </w:pPr>
            <w:r>
              <w:t xml:space="preserve">Q5 </w:t>
            </w:r>
            <w:r w:rsidRPr="00750E00">
              <w:t>Are there any other options that have not been mentioned that would discourage customers from exceeding their MIC? Please provide details.</w:t>
            </w:r>
            <w:r>
              <w:t xml:space="preserve"> If not, please provide supporting reasons.</w:t>
            </w:r>
          </w:p>
        </w:tc>
      </w:tr>
    </w:tbl>
    <w:p w14:paraId="5EF964FF" w14:textId="77777777" w:rsidR="008A0A36" w:rsidRDefault="008A0A36">
      <w:pPr>
        <w:pStyle w:val="ListParagraph"/>
        <w:numPr>
          <w:ilvl w:val="1"/>
          <w:numId w:val="21"/>
        </w:numPr>
      </w:pPr>
      <w:r>
        <w:t>Five responders offered no alternative solution.</w:t>
      </w:r>
    </w:p>
    <w:p w14:paraId="20A47F4D" w14:textId="77777777" w:rsidR="008A0A36" w:rsidRDefault="008A0A36">
      <w:pPr>
        <w:pStyle w:val="ListParagraph"/>
        <w:numPr>
          <w:ilvl w:val="1"/>
          <w:numId w:val="21"/>
        </w:numPr>
      </w:pPr>
      <w:r>
        <w:t>Two responders queried if amending the National Terms Of Connection to give the DNO more powers when a customer exceeds their capacity is an alternative approach that could be considered.</w:t>
      </w:r>
    </w:p>
    <w:p w14:paraId="61B47FB1" w14:textId="77777777" w:rsidR="008A0A36" w:rsidRPr="00230DFB" w:rsidRDefault="008A0A36">
      <w:pPr>
        <w:pStyle w:val="ListParagraph"/>
        <w:numPr>
          <w:ilvl w:val="1"/>
          <w:numId w:val="21"/>
        </w:numPr>
      </w:pPr>
      <w:r>
        <w:t xml:space="preserve">One responder noted that </w:t>
      </w:r>
      <w:r>
        <w:rPr>
          <w:rFonts w:cstheme="minorHAnsi"/>
          <w:bCs/>
        </w:rPr>
        <w:t>reducing the MIC on a sliding scale, specifically the volume i.e. physically restricting their access to the capacity may be an alternative solution. They also noted that whilst this may a possible solution, they didn’t believe it would be ideal.</w:t>
      </w:r>
    </w:p>
    <w:p w14:paraId="64939785" w14:textId="77777777" w:rsidR="008A0A36" w:rsidRDefault="008A0A36">
      <w:pPr>
        <w:pStyle w:val="ListParagraph"/>
        <w:numPr>
          <w:ilvl w:val="1"/>
          <w:numId w:val="21"/>
        </w:numPr>
      </w:pPr>
      <w:r>
        <w:rPr>
          <w:bCs/>
        </w:rPr>
        <w:t xml:space="preserve">Another </w:t>
      </w:r>
      <w:r w:rsidRPr="00484657">
        <w:rPr>
          <w:bCs/>
        </w:rPr>
        <w:t>suggested that where the MIC is being exceeded, DNOs should be contacting customers to highlight this and putting in place processes to agree new MICs where required</w:t>
      </w:r>
      <w:r>
        <w:rPr>
          <w:bCs/>
        </w:rPr>
        <w:t>.</w:t>
      </w:r>
    </w:p>
    <w:tbl>
      <w:tblPr>
        <w:tblStyle w:val="TableList2"/>
        <w:tblW w:w="0" w:type="auto"/>
        <w:tblLook w:val="04A0" w:firstRow="1" w:lastRow="0" w:firstColumn="1" w:lastColumn="0" w:noHBand="0" w:noVBand="1"/>
      </w:tblPr>
      <w:tblGrid>
        <w:gridCol w:w="9026"/>
      </w:tblGrid>
      <w:tr w:rsidR="008A0A36" w:rsidRPr="00B50322" w14:paraId="6C249A6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D28AA94" w14:textId="77777777" w:rsidR="008A0A36" w:rsidRPr="00546013" w:rsidRDefault="008A0A36" w:rsidP="00C90B56">
            <w:pPr>
              <w:jc w:val="both"/>
              <w:rPr>
                <w:b w:val="0"/>
                <w:bCs w:val="0"/>
              </w:rPr>
            </w:pPr>
            <w:bookmarkStart w:id="23" w:name="_Hlk197871464"/>
            <w:r>
              <w:t xml:space="preserve">Q6: </w:t>
            </w:r>
            <w:r w:rsidRPr="00174B8C">
              <w:t>Should a change in MIC, either an increase or a decrease (as in example 7 and 8 above), reset the excess capacity charges? Please provide rationale.</w:t>
            </w:r>
          </w:p>
        </w:tc>
      </w:tr>
    </w:tbl>
    <w:bookmarkEnd w:id="23"/>
    <w:p w14:paraId="53442274" w14:textId="77777777" w:rsidR="008A0A36" w:rsidRDefault="008A0A36">
      <w:pPr>
        <w:pStyle w:val="ListParagraph"/>
        <w:numPr>
          <w:ilvl w:val="1"/>
          <w:numId w:val="22"/>
        </w:numPr>
      </w:pPr>
      <w:r>
        <w:t xml:space="preserve"> Overall, the responses suggested that increasing the MIC will have the outcome of what this change is looking to achieve with seven respondents saying a change in MIC should reset the excess capacity charge.</w:t>
      </w:r>
    </w:p>
    <w:p w14:paraId="77EAAF74" w14:textId="3362B7B5" w:rsidR="008A0A36" w:rsidRDefault="008A0A36">
      <w:pPr>
        <w:pStyle w:val="ListParagraph"/>
        <w:numPr>
          <w:ilvl w:val="1"/>
          <w:numId w:val="22"/>
        </w:numPr>
      </w:pPr>
      <w:r>
        <w:t xml:space="preserve">One of the respondents </w:t>
      </w:r>
      <w:r w:rsidR="001019BE">
        <w:t>who</w:t>
      </w:r>
      <w:r>
        <w:t xml:space="preserve"> didn’t believe a change in MIC should reset the excess capacity charge noted that t</w:t>
      </w:r>
      <w:r w:rsidRPr="0008161E">
        <w:t>his could result in many changes to the MIC in one year, which could result in an increase in invoice queries, investigation of these have the risk of being costly and resource intensive.</w:t>
      </w:r>
    </w:p>
    <w:p w14:paraId="0159E3E4" w14:textId="77777777" w:rsidR="008A0A36" w:rsidRDefault="008A0A36">
      <w:pPr>
        <w:pStyle w:val="ListParagraph"/>
        <w:numPr>
          <w:ilvl w:val="1"/>
          <w:numId w:val="22"/>
        </w:numPr>
      </w:pPr>
      <w:r>
        <w:t>The other responder who didn’t believe the excess capacity charge stated that</w:t>
      </w:r>
    </w:p>
    <w:tbl>
      <w:tblPr>
        <w:tblStyle w:val="TableList2"/>
        <w:tblW w:w="0" w:type="auto"/>
        <w:tblLook w:val="04A0" w:firstRow="1" w:lastRow="0" w:firstColumn="1" w:lastColumn="0" w:noHBand="0" w:noVBand="1"/>
      </w:tblPr>
      <w:tblGrid>
        <w:gridCol w:w="9026"/>
      </w:tblGrid>
      <w:tr w:rsidR="008A0A36" w:rsidRPr="00B50322" w14:paraId="362F8630"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08840EC" w14:textId="77777777" w:rsidR="008A0A36" w:rsidRPr="00546013" w:rsidRDefault="008A0A36" w:rsidP="00C90B56">
            <w:pPr>
              <w:jc w:val="both"/>
              <w:rPr>
                <w:b w:val="0"/>
                <w:bCs w:val="0"/>
              </w:rPr>
            </w:pPr>
            <w:bookmarkStart w:id="24" w:name="_Hlk197871671"/>
            <w:r>
              <w:t xml:space="preserve">Q7: </w:t>
            </w:r>
            <w:r w:rsidRPr="001153E9">
              <w:t>Should this change include both import and export excess capacity charging?</w:t>
            </w:r>
          </w:p>
        </w:tc>
      </w:tr>
    </w:tbl>
    <w:bookmarkEnd w:id="24"/>
    <w:p w14:paraId="583BA665" w14:textId="77777777" w:rsidR="008A0A36" w:rsidRDefault="008A0A36">
      <w:pPr>
        <w:pStyle w:val="ListParagraph"/>
        <w:numPr>
          <w:ilvl w:val="1"/>
          <w:numId w:val="22"/>
        </w:numPr>
      </w:pPr>
      <w:r>
        <w:t xml:space="preserve"> One responder stated that they didn’t see a reason why import and export should be treated differently.</w:t>
      </w:r>
    </w:p>
    <w:p w14:paraId="036B4B0F" w14:textId="77777777" w:rsidR="008A0A36" w:rsidRDefault="008A0A36">
      <w:pPr>
        <w:pStyle w:val="ListParagraph"/>
        <w:numPr>
          <w:ilvl w:val="1"/>
          <w:numId w:val="22"/>
        </w:numPr>
      </w:pPr>
      <w:r>
        <w:t xml:space="preserve"> Another responder stated that they were unsure if this was an issue that impacted export sites but if it did, then they should be included.</w:t>
      </w:r>
    </w:p>
    <w:p w14:paraId="462B342C" w14:textId="77777777" w:rsidR="008A0A36" w:rsidRDefault="008A0A36">
      <w:pPr>
        <w:pStyle w:val="ListParagraph"/>
        <w:numPr>
          <w:ilvl w:val="1"/>
          <w:numId w:val="22"/>
        </w:numPr>
      </w:pPr>
      <w:r>
        <w:lastRenderedPageBreak/>
        <w:t xml:space="preserve"> On responder offered no view.</w:t>
      </w:r>
    </w:p>
    <w:p w14:paraId="027D5EE5" w14:textId="77777777" w:rsidR="008A0A36" w:rsidRDefault="008A0A36">
      <w:pPr>
        <w:pStyle w:val="ListParagraph"/>
        <w:numPr>
          <w:ilvl w:val="1"/>
          <w:numId w:val="22"/>
        </w:numPr>
      </w:pPr>
      <w:r>
        <w:t xml:space="preserve"> The other six responders stated that this change should only impact import capacity charging with one highlighting that they believed that export capacity charges was out of scope for this change.</w:t>
      </w:r>
    </w:p>
    <w:tbl>
      <w:tblPr>
        <w:tblStyle w:val="TableList2"/>
        <w:tblW w:w="0" w:type="auto"/>
        <w:tblLook w:val="04A0" w:firstRow="1" w:lastRow="0" w:firstColumn="1" w:lastColumn="0" w:noHBand="0" w:noVBand="1"/>
      </w:tblPr>
      <w:tblGrid>
        <w:gridCol w:w="9026"/>
      </w:tblGrid>
      <w:tr w:rsidR="008A0A36" w:rsidRPr="00B50322" w14:paraId="194EC35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E21AE" w14:textId="77777777" w:rsidR="008A0A36" w:rsidRPr="00546013" w:rsidRDefault="008A0A36" w:rsidP="00C90B56">
            <w:pPr>
              <w:jc w:val="both"/>
              <w:rPr>
                <w:b w:val="0"/>
                <w:bCs w:val="0"/>
              </w:rPr>
            </w:pPr>
            <w:bookmarkStart w:id="25" w:name="_Hlk197872053"/>
            <w:r>
              <w:t xml:space="preserve">Q8: </w:t>
            </w:r>
            <w:r w:rsidRPr="00823F66">
              <w:t>Should this change include EDCM excess capacity charging? Please provide your rationale.</w:t>
            </w:r>
          </w:p>
        </w:tc>
      </w:tr>
    </w:tbl>
    <w:bookmarkEnd w:id="25"/>
    <w:p w14:paraId="7DA7C041" w14:textId="77777777" w:rsidR="008A0A36" w:rsidRDefault="008A0A36">
      <w:pPr>
        <w:pStyle w:val="ListParagraph"/>
        <w:numPr>
          <w:ilvl w:val="1"/>
          <w:numId w:val="22"/>
        </w:numPr>
      </w:pPr>
      <w:r>
        <w:t xml:space="preserve"> Five responders said yes, this change should include EDCM capacity charging.</w:t>
      </w:r>
    </w:p>
    <w:p w14:paraId="278788E8" w14:textId="0E8B8BBC" w:rsidR="008A0A36" w:rsidRDefault="008A0A36">
      <w:pPr>
        <w:pStyle w:val="ListParagraph"/>
        <w:numPr>
          <w:ilvl w:val="1"/>
          <w:numId w:val="22"/>
        </w:numPr>
      </w:pPr>
      <w:r>
        <w:t xml:space="preserve"> Three responders said that this change should not include EDCM capacity charging and drew attention to the fact that </w:t>
      </w:r>
      <w:r w:rsidR="001019BE">
        <w:t>the EDCM</w:t>
      </w:r>
      <w:r w:rsidRPr="00596B26">
        <w:t xml:space="preserve"> uses a different method for calculating excess capacity so would require a different fix.</w:t>
      </w:r>
      <w:r>
        <w:t xml:space="preserve"> One of these three responders suggested it may require a different CP.</w:t>
      </w:r>
    </w:p>
    <w:p w14:paraId="159BF989" w14:textId="77777777" w:rsidR="008A0A36" w:rsidRDefault="008A0A36">
      <w:pPr>
        <w:pStyle w:val="ListParagraph"/>
        <w:numPr>
          <w:ilvl w:val="1"/>
          <w:numId w:val="22"/>
        </w:numPr>
      </w:pPr>
      <w:r>
        <w:t xml:space="preserve"> One responder offered no view.</w:t>
      </w:r>
    </w:p>
    <w:tbl>
      <w:tblPr>
        <w:tblStyle w:val="TableList2"/>
        <w:tblW w:w="0" w:type="auto"/>
        <w:tblLook w:val="04A0" w:firstRow="1" w:lastRow="0" w:firstColumn="1" w:lastColumn="0" w:noHBand="0" w:noVBand="1"/>
      </w:tblPr>
      <w:tblGrid>
        <w:gridCol w:w="9026"/>
      </w:tblGrid>
      <w:tr w:rsidR="008A0A36" w:rsidRPr="00B50322" w14:paraId="4BC5C095"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BC0BAAA" w14:textId="77777777" w:rsidR="008A0A36" w:rsidRPr="00546013" w:rsidRDefault="008A0A36" w:rsidP="00C90B56">
            <w:pPr>
              <w:jc w:val="both"/>
              <w:rPr>
                <w:b w:val="0"/>
                <w:bCs w:val="0"/>
              </w:rPr>
            </w:pPr>
            <w:bookmarkStart w:id="26" w:name="_Hlk197873225"/>
            <w:r>
              <w:t xml:space="preserve">Q9: </w:t>
            </w:r>
            <w:r w:rsidRPr="0014230A">
              <w:t>What system changes would be required for the proposed solutions, or for any alternative solutions you have suggested? Please provide details.</w:t>
            </w:r>
          </w:p>
        </w:tc>
      </w:tr>
    </w:tbl>
    <w:bookmarkEnd w:id="26"/>
    <w:p w14:paraId="7C79F023" w14:textId="77777777" w:rsidR="008A0A36" w:rsidRDefault="008A0A36">
      <w:pPr>
        <w:pStyle w:val="ListParagraph"/>
        <w:numPr>
          <w:ilvl w:val="1"/>
          <w:numId w:val="22"/>
        </w:numPr>
      </w:pPr>
      <w:r>
        <w:t xml:space="preserve"> Four DNO parties all stated that for the differential approach, no changes would be required however, for the 12-month solution, had </w:t>
      </w:r>
      <w:r w:rsidRPr="00F61F61">
        <w:t xml:space="preserve">substantial </w:t>
      </w:r>
      <w:r>
        <w:t>system changes</w:t>
      </w:r>
      <w:r w:rsidRPr="00F61F61">
        <w:t xml:space="preserve"> associated with it.</w:t>
      </w:r>
    </w:p>
    <w:p w14:paraId="6CFE7103" w14:textId="77777777" w:rsidR="008A0A36" w:rsidRDefault="008A0A36">
      <w:pPr>
        <w:pStyle w:val="ListParagraph"/>
        <w:numPr>
          <w:ilvl w:val="1"/>
          <w:numId w:val="22"/>
        </w:numPr>
      </w:pPr>
      <w:r>
        <w:t xml:space="preserve"> Two responders offered no view.</w:t>
      </w:r>
    </w:p>
    <w:p w14:paraId="78427B7E" w14:textId="2506E2CC" w:rsidR="008A0A36" w:rsidRDefault="008A0A36">
      <w:pPr>
        <w:pStyle w:val="ListParagraph"/>
        <w:numPr>
          <w:ilvl w:val="1"/>
          <w:numId w:val="22"/>
        </w:numPr>
      </w:pPr>
      <w:r>
        <w:t xml:space="preserve"> One DNO party noted </w:t>
      </w:r>
      <w:r w:rsidR="001019BE">
        <w:t>that</w:t>
      </w:r>
      <w:r>
        <w:t xml:space="preserve"> there are no changes required that aren’t already</w:t>
      </w:r>
      <w:r w:rsidRPr="00545639">
        <w:t xml:space="preserve"> mentioned in the change proposal.</w:t>
      </w:r>
    </w:p>
    <w:p w14:paraId="29889745" w14:textId="77777777" w:rsidR="008A0A36" w:rsidRDefault="008A0A36">
      <w:pPr>
        <w:pStyle w:val="ListParagraph"/>
        <w:numPr>
          <w:ilvl w:val="1"/>
          <w:numId w:val="22"/>
        </w:numPr>
      </w:pPr>
      <w:r>
        <w:t xml:space="preserve"> An IDNO party noted that </w:t>
      </w:r>
      <w:r w:rsidRPr="001C6AAC">
        <w:t xml:space="preserve">calculation of the MIC for invoicing purposes would require a system change. </w:t>
      </w:r>
      <w:r>
        <w:t>They went on to state that this</w:t>
      </w:r>
      <w:r w:rsidRPr="001C6AAC">
        <w:t xml:space="preserve"> would hopefully be a change to the software </w:t>
      </w:r>
      <w:r>
        <w:t>and that it</w:t>
      </w:r>
      <w:r w:rsidRPr="001C6AAC">
        <w:t xml:space="preserve"> would be relatively easy to implement</w:t>
      </w:r>
      <w:r>
        <w:t>.</w:t>
      </w:r>
    </w:p>
    <w:p w14:paraId="78200DB3" w14:textId="77777777" w:rsidR="008A0A36" w:rsidRDefault="008A0A36">
      <w:pPr>
        <w:pStyle w:val="ListParagraph"/>
        <w:numPr>
          <w:ilvl w:val="1"/>
          <w:numId w:val="22"/>
        </w:numPr>
      </w:pPr>
      <w:r>
        <w:t xml:space="preserve"> One supplier responder noted that there’d be no changes required for either solution as</w:t>
      </w:r>
      <w:r w:rsidRPr="00F13389">
        <w:t xml:space="preserve"> any charges passed from the DNO, are billed directly to the customer</w:t>
      </w:r>
      <w:r>
        <w:t>.</w:t>
      </w:r>
    </w:p>
    <w:tbl>
      <w:tblPr>
        <w:tblStyle w:val="TableList2"/>
        <w:tblW w:w="0" w:type="auto"/>
        <w:tblLook w:val="04A0" w:firstRow="1" w:lastRow="0" w:firstColumn="1" w:lastColumn="0" w:noHBand="0" w:noVBand="1"/>
      </w:tblPr>
      <w:tblGrid>
        <w:gridCol w:w="9026"/>
      </w:tblGrid>
      <w:tr w:rsidR="008A0A36" w:rsidRPr="00B50322" w14:paraId="107A1B8F"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0BA91DA" w14:textId="77777777" w:rsidR="008A0A36" w:rsidRPr="00546013" w:rsidRDefault="008A0A36" w:rsidP="00C90B56">
            <w:pPr>
              <w:jc w:val="both"/>
              <w:rPr>
                <w:b w:val="0"/>
                <w:bCs w:val="0"/>
              </w:rPr>
            </w:pPr>
            <w:bookmarkStart w:id="27" w:name="_Hlk200036388"/>
            <w:bookmarkStart w:id="28" w:name="_Hlk200036405"/>
            <w:r>
              <w:t xml:space="preserve">Q10: </w:t>
            </w:r>
            <w:r w:rsidRPr="0080314A">
              <w:t>Does this change suitably incentivise customers not to exceed their MIC? Please rationale</w:t>
            </w:r>
            <w:bookmarkEnd w:id="27"/>
            <w:r>
              <w:t>.</w:t>
            </w:r>
          </w:p>
        </w:tc>
      </w:tr>
    </w:tbl>
    <w:bookmarkEnd w:id="28"/>
    <w:p w14:paraId="377FFBBE" w14:textId="77777777" w:rsidR="008A0A36" w:rsidRDefault="008A0A36">
      <w:pPr>
        <w:pStyle w:val="ListParagraph"/>
        <w:numPr>
          <w:ilvl w:val="1"/>
          <w:numId w:val="22"/>
        </w:numPr>
      </w:pPr>
      <w:r>
        <w:t xml:space="preserve"> Seven responders stated that they believed this change would incentivise customers to not exceed their MIC.</w:t>
      </w:r>
    </w:p>
    <w:p w14:paraId="43E96F3E" w14:textId="77777777" w:rsidR="008A0A36" w:rsidRDefault="008A0A36">
      <w:pPr>
        <w:pStyle w:val="ListParagraph"/>
        <w:numPr>
          <w:ilvl w:val="1"/>
          <w:numId w:val="22"/>
        </w:numPr>
      </w:pPr>
      <w:r>
        <w:t xml:space="preserve"> One of these responders noted that they utilised this approach years ago prior to the CDCM being introduced.</w:t>
      </w:r>
    </w:p>
    <w:p w14:paraId="6D5D7D21" w14:textId="77777777" w:rsidR="008A0A36" w:rsidRDefault="008A0A36">
      <w:pPr>
        <w:pStyle w:val="ListParagraph"/>
        <w:numPr>
          <w:ilvl w:val="1"/>
          <w:numId w:val="22"/>
        </w:numPr>
      </w:pPr>
      <w:r>
        <w:t xml:space="preserve"> Many who said they believed the change offered incentives to customers to not exceed their MIC went on to state that they believed that the incentive would be greater for sites that rarely exceeded their MIC and that for sites who regularly exceed, the incentive may not be strong enough as they’d be paying the excess capacity charges anyway.</w:t>
      </w:r>
    </w:p>
    <w:p w14:paraId="36965280" w14:textId="77777777" w:rsidR="008A0A36" w:rsidRDefault="008A0A36">
      <w:pPr>
        <w:pStyle w:val="ListParagraph"/>
        <w:numPr>
          <w:ilvl w:val="1"/>
          <w:numId w:val="22"/>
        </w:numPr>
      </w:pPr>
      <w:r>
        <w:t xml:space="preserve">The other two responders said that they couldn’t say either way if the change would provide incentives to not exceed or not. </w:t>
      </w:r>
    </w:p>
    <w:tbl>
      <w:tblPr>
        <w:tblStyle w:val="TableList2"/>
        <w:tblW w:w="0" w:type="auto"/>
        <w:tblLook w:val="04A0" w:firstRow="1" w:lastRow="0" w:firstColumn="1" w:lastColumn="0" w:noHBand="0" w:noVBand="1"/>
      </w:tblPr>
      <w:tblGrid>
        <w:gridCol w:w="9026"/>
      </w:tblGrid>
      <w:tr w:rsidR="008A0A36" w:rsidRPr="00B50322" w14:paraId="39DF37E7"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FE7C78D" w14:textId="77777777" w:rsidR="008A0A36" w:rsidRPr="00546013" w:rsidRDefault="008A0A36" w:rsidP="00C90B56">
            <w:pPr>
              <w:jc w:val="both"/>
              <w:rPr>
                <w:b w:val="0"/>
                <w:bCs w:val="0"/>
              </w:rPr>
            </w:pPr>
            <w:r>
              <w:lastRenderedPageBreak/>
              <w:t xml:space="preserve">Q11: </w:t>
            </w:r>
            <w:r w:rsidRPr="00622704">
              <w:t>Are you aware of any unintended consequences of A. Billing Excess Capacity based on the highest MD over 12 months B. Creating a differential rate for excess capacity. C. Any alternative solution you have suggested Please provide details.</w:t>
            </w:r>
          </w:p>
        </w:tc>
      </w:tr>
    </w:tbl>
    <w:p w14:paraId="2B979233" w14:textId="77777777" w:rsidR="00BB618A" w:rsidRPr="00BB618A" w:rsidRDefault="008A0A36">
      <w:pPr>
        <w:pStyle w:val="ListParagraph"/>
        <w:numPr>
          <w:ilvl w:val="1"/>
          <w:numId w:val="22"/>
        </w:numPr>
      </w:pPr>
      <w:r>
        <w:t xml:space="preserve"> </w:t>
      </w:r>
      <w:r w:rsidR="00BB618A" w:rsidRPr="00BB618A">
        <w:t>Key themes raised were:</w:t>
      </w:r>
    </w:p>
    <w:p w14:paraId="1803F50F" w14:textId="77777777" w:rsidR="00BB618A" w:rsidRDefault="00BB618A" w:rsidP="00BB618A">
      <w:pPr>
        <w:pStyle w:val="ListParagraph"/>
        <w:ind w:left="390"/>
      </w:pPr>
      <w:r w:rsidRPr="00BB618A">
        <w:rPr>
          <w:b/>
          <w:bCs/>
        </w:rPr>
        <w:t>Customer transfer risks</w:t>
      </w:r>
      <w:r w:rsidRPr="00BB618A">
        <w:t xml:space="preserve"> </w:t>
      </w:r>
    </w:p>
    <w:p w14:paraId="70D089B6" w14:textId="02E1B9E7" w:rsidR="00BB618A" w:rsidRDefault="00BB618A">
      <w:pPr>
        <w:pStyle w:val="ListParagraph"/>
        <w:numPr>
          <w:ilvl w:val="1"/>
          <w:numId w:val="22"/>
        </w:numPr>
      </w:pPr>
      <w:r w:rsidRPr="00BB618A">
        <w:t>Several parties highlighted that a new occupier or customer could inherit excess capacity charges arising from a previous customer’s behaviour if the 12</w:t>
      </w:r>
      <w:r w:rsidRPr="00BB618A">
        <w:noBreakHyphen/>
        <w:t>month charging period continued after a change in tenanc</w:t>
      </w:r>
      <w:r>
        <w:t>y.</w:t>
      </w:r>
    </w:p>
    <w:p w14:paraId="2CC266F1" w14:textId="77777777" w:rsidR="00BB618A" w:rsidRDefault="00BB618A" w:rsidP="00BB618A">
      <w:pPr>
        <w:pStyle w:val="ListParagraph"/>
        <w:ind w:left="390"/>
      </w:pPr>
      <w:r w:rsidRPr="00BB618A">
        <w:rPr>
          <w:b/>
          <w:bCs/>
        </w:rPr>
        <w:t>Erroneous data impacts</w:t>
      </w:r>
      <w:r w:rsidRPr="00BB618A">
        <w:t xml:space="preserve"> </w:t>
      </w:r>
    </w:p>
    <w:p w14:paraId="0B400D7F" w14:textId="605C2ACE" w:rsidR="00BB618A" w:rsidRDefault="00BB618A">
      <w:pPr>
        <w:pStyle w:val="ListParagraph"/>
        <w:numPr>
          <w:ilvl w:val="1"/>
          <w:numId w:val="22"/>
        </w:numPr>
      </w:pPr>
      <w:r w:rsidRPr="00BB618A">
        <w:t xml:space="preserve">Concerns were raised that meter data errors or isolated demand spikes could result in customers being charged excess capacity for up to 12 months before corrections are made. </w:t>
      </w:r>
    </w:p>
    <w:p w14:paraId="3C26C934" w14:textId="77777777" w:rsidR="00BB618A" w:rsidRDefault="00BB618A" w:rsidP="00BB618A">
      <w:pPr>
        <w:pStyle w:val="ListParagraph"/>
        <w:ind w:left="390"/>
      </w:pPr>
      <w:r w:rsidRPr="00BB618A">
        <w:rPr>
          <w:b/>
          <w:bCs/>
        </w:rPr>
        <w:t>Customer understanding and behaviour</w:t>
      </w:r>
      <w:r w:rsidRPr="00BB618A">
        <w:t xml:space="preserve"> </w:t>
      </w:r>
    </w:p>
    <w:p w14:paraId="335276B6" w14:textId="26D53171" w:rsidR="00BB618A" w:rsidRDefault="00BB618A">
      <w:pPr>
        <w:pStyle w:val="ListParagraph"/>
        <w:numPr>
          <w:ilvl w:val="1"/>
          <w:numId w:val="22"/>
        </w:numPr>
      </w:pPr>
      <w:r w:rsidRPr="00BB618A">
        <w:t>Respondents noted that customers could interpret the 12</w:t>
      </w:r>
      <w:r w:rsidRPr="00BB618A">
        <w:noBreakHyphen/>
        <w:t xml:space="preserve">month charge as granting an ongoing right to use the higher capacity level, potentially weakening the intended behavioural signal. </w:t>
      </w:r>
    </w:p>
    <w:p w14:paraId="70DB1E27" w14:textId="77777777" w:rsidR="00BB618A" w:rsidRDefault="00BB618A" w:rsidP="00BB618A">
      <w:pPr>
        <w:ind w:left="390"/>
      </w:pPr>
      <w:r w:rsidRPr="00BB618A">
        <w:rPr>
          <w:b/>
          <w:bCs/>
        </w:rPr>
        <w:t>Supplier impacts</w:t>
      </w:r>
      <w:r w:rsidRPr="00BB618A">
        <w:t xml:space="preserve"> </w:t>
      </w:r>
    </w:p>
    <w:p w14:paraId="7DA0F915" w14:textId="01D46080" w:rsidR="00BB618A" w:rsidRDefault="00BB618A">
      <w:pPr>
        <w:pStyle w:val="ListParagraph"/>
        <w:numPr>
          <w:ilvl w:val="1"/>
          <w:numId w:val="22"/>
        </w:numPr>
      </w:pPr>
      <w:r w:rsidRPr="00BB618A">
        <w:t xml:space="preserve">Suppliers anticipated an increase in customer queries, complaints and billing challenges under either solution, particularly where charges are difficult to explain to end consumers. </w:t>
      </w:r>
    </w:p>
    <w:p w14:paraId="585DF87F" w14:textId="77777777" w:rsidR="00BB618A" w:rsidRDefault="00BB618A" w:rsidP="00BB618A">
      <w:pPr>
        <w:pStyle w:val="ListParagraph"/>
        <w:ind w:left="390"/>
      </w:pPr>
      <w:r w:rsidRPr="00BB618A">
        <w:rPr>
          <w:b/>
          <w:bCs/>
        </w:rPr>
        <w:t>Limited concerns with differential charging</w:t>
      </w:r>
      <w:r w:rsidRPr="00BB618A">
        <w:t xml:space="preserve"> </w:t>
      </w:r>
    </w:p>
    <w:p w14:paraId="43705DED" w14:textId="56D047A8" w:rsidR="008A0A36" w:rsidRDefault="00BB618A">
      <w:pPr>
        <w:pStyle w:val="ListParagraph"/>
        <w:numPr>
          <w:ilvl w:val="1"/>
          <w:numId w:val="22"/>
        </w:numPr>
      </w:pPr>
      <w:r w:rsidRPr="00BB618A">
        <w:t>Respondents generally did not identify significant unintended consequences from reintroducing a differential between capacity and excess capacity charges, with some noting that a differential existed previously without obvious adverse effects.</w:t>
      </w:r>
    </w:p>
    <w:tbl>
      <w:tblPr>
        <w:tblStyle w:val="TableList2"/>
        <w:tblW w:w="0" w:type="auto"/>
        <w:tblLook w:val="04A0" w:firstRow="1" w:lastRow="0" w:firstColumn="1" w:lastColumn="0" w:noHBand="0" w:noVBand="1"/>
      </w:tblPr>
      <w:tblGrid>
        <w:gridCol w:w="9026"/>
      </w:tblGrid>
      <w:tr w:rsidR="008A0A36" w:rsidRPr="00B50322" w14:paraId="761EE39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8D0321A" w14:textId="77777777" w:rsidR="008A0A36" w:rsidRPr="00546013" w:rsidRDefault="008A0A36" w:rsidP="00C90B56">
            <w:pPr>
              <w:jc w:val="both"/>
              <w:rPr>
                <w:b w:val="0"/>
                <w:bCs w:val="0"/>
              </w:rPr>
            </w:pPr>
            <w:bookmarkStart w:id="29" w:name="_Hlk200037558"/>
            <w:r>
              <w:t xml:space="preserve">Q12: </w:t>
            </w:r>
            <w:r w:rsidRPr="001338BA">
              <w:t>Do you have a view on what consequences there could be of customers exceeding MIC, for long-term and/or short-term DNO planning and/or DSO services?</w:t>
            </w:r>
          </w:p>
        </w:tc>
      </w:tr>
    </w:tbl>
    <w:bookmarkEnd w:id="29"/>
    <w:p w14:paraId="1A0DF106" w14:textId="77777777" w:rsidR="008A0A36" w:rsidRDefault="008A0A36">
      <w:pPr>
        <w:pStyle w:val="ListParagraph"/>
        <w:numPr>
          <w:ilvl w:val="1"/>
          <w:numId w:val="22"/>
        </w:numPr>
      </w:pPr>
      <w:r>
        <w:t xml:space="preserve"> A number of issues were raised on the consequences of customers exceeding their MIC which ranged from the faster depreciation of assets due to higher-than-expected capacity being drawn, issue in </w:t>
      </w:r>
      <w:r w:rsidRPr="008A24EB">
        <w:t>forecast</w:t>
      </w:r>
      <w:r>
        <w:t>ing</w:t>
      </w:r>
      <w:r w:rsidRPr="008A24EB">
        <w:t xml:space="preserve"> actual capacity usage</w:t>
      </w:r>
      <w:r>
        <w:t>, additional reinforcement being required which is borne by all customers and t</w:t>
      </w:r>
      <w:r w:rsidRPr="006C32FB">
        <w:t>he DSO may have to procure and pay for flexibility services on the local network</w:t>
      </w:r>
      <w:r>
        <w:t>.</w:t>
      </w:r>
    </w:p>
    <w:tbl>
      <w:tblPr>
        <w:tblStyle w:val="TableList2"/>
        <w:tblW w:w="0" w:type="auto"/>
        <w:tblLook w:val="04A0" w:firstRow="1" w:lastRow="0" w:firstColumn="1" w:lastColumn="0" w:noHBand="0" w:noVBand="1"/>
      </w:tblPr>
      <w:tblGrid>
        <w:gridCol w:w="9026"/>
      </w:tblGrid>
      <w:tr w:rsidR="008A0A36" w:rsidRPr="00B50322" w14:paraId="0391C2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3E42CA7" w14:textId="77777777" w:rsidR="008A0A36" w:rsidRPr="00546013" w:rsidRDefault="008A0A36" w:rsidP="00C90B56">
            <w:pPr>
              <w:jc w:val="both"/>
              <w:rPr>
                <w:b w:val="0"/>
                <w:bCs w:val="0"/>
              </w:rPr>
            </w:pPr>
            <w:bookmarkStart w:id="30" w:name="_Hlk200037624"/>
            <w:r>
              <w:t xml:space="preserve">Q13: </w:t>
            </w:r>
            <w:r w:rsidRPr="002703CB">
              <w:t>Do you consider that the proposal better facilitates the DCUSA Objectives? Please give supporting reasons.</w:t>
            </w:r>
          </w:p>
        </w:tc>
      </w:tr>
    </w:tbl>
    <w:bookmarkEnd w:id="30"/>
    <w:p w14:paraId="09DA0609" w14:textId="77777777" w:rsidR="008A0A36" w:rsidRDefault="008A0A36">
      <w:pPr>
        <w:pStyle w:val="ListParagraph"/>
        <w:numPr>
          <w:ilvl w:val="1"/>
          <w:numId w:val="22"/>
        </w:numPr>
      </w:pPr>
      <w:r>
        <w:t xml:space="preserve"> Four responders believed charging objective 2 was better facilitated.</w:t>
      </w:r>
    </w:p>
    <w:p w14:paraId="0C264D1B" w14:textId="77777777" w:rsidR="008A0A36" w:rsidRDefault="008A0A36">
      <w:pPr>
        <w:pStyle w:val="ListParagraph"/>
        <w:numPr>
          <w:ilvl w:val="1"/>
          <w:numId w:val="22"/>
        </w:numPr>
      </w:pPr>
      <w:r>
        <w:t xml:space="preserve"> Three stated that charging objective 1 was better facilitated.</w:t>
      </w:r>
    </w:p>
    <w:p w14:paraId="3468C360" w14:textId="77777777" w:rsidR="008A0A36" w:rsidRDefault="008A0A36">
      <w:pPr>
        <w:pStyle w:val="ListParagraph"/>
        <w:numPr>
          <w:ilvl w:val="1"/>
          <w:numId w:val="22"/>
        </w:numPr>
      </w:pPr>
      <w:r>
        <w:t xml:space="preserve"> One response said that charging objective 3 was better facilitated.</w:t>
      </w:r>
    </w:p>
    <w:p w14:paraId="321C070D" w14:textId="0D0D96FB" w:rsidR="008A0A36" w:rsidRDefault="008A0A36">
      <w:pPr>
        <w:pStyle w:val="ListParagraph"/>
        <w:numPr>
          <w:ilvl w:val="1"/>
          <w:numId w:val="22"/>
        </w:numPr>
      </w:pPr>
      <w:r>
        <w:t xml:space="preserve"> Another responder only mentioned that the believed the general objectives for both solutions were better facilitated and went on to note they believed the </w:t>
      </w:r>
      <w:r w:rsidR="001019BE">
        <w:t>alternative solution B</w:t>
      </w:r>
      <w:r>
        <w:t xml:space="preserve"> was better as it applied </w:t>
      </w:r>
      <w:r w:rsidRPr="00B268DE">
        <w:t xml:space="preserve">an equitable share of costs, sends a strong cost signal to deter poor behaviour and </w:t>
      </w:r>
      <w:r w:rsidRPr="00B268DE">
        <w:lastRenderedPageBreak/>
        <w:t>doesn’t lock capacity making it available to other or new users without the potential need to meet network reinforcement costs.</w:t>
      </w:r>
    </w:p>
    <w:p w14:paraId="78475B01" w14:textId="77777777" w:rsidR="008A0A36" w:rsidRDefault="008A0A36">
      <w:pPr>
        <w:pStyle w:val="ListParagraph"/>
        <w:numPr>
          <w:ilvl w:val="1"/>
          <w:numId w:val="22"/>
        </w:numPr>
      </w:pPr>
      <w:r>
        <w:t xml:space="preserve"> One responder believed that charging objective 3 would be negatively impacted as the solutions are not cost reflective.</w:t>
      </w:r>
    </w:p>
    <w:p w14:paraId="647B3B09" w14:textId="77777777" w:rsidR="008A0A36" w:rsidRDefault="008A0A36">
      <w:pPr>
        <w:pStyle w:val="ListParagraph"/>
        <w:numPr>
          <w:ilvl w:val="1"/>
          <w:numId w:val="22"/>
        </w:numPr>
      </w:pPr>
      <w:r>
        <w:t xml:space="preserve"> Finally, one responder noted that they were unable to assess the change as the solution was unknown at this time.,</w:t>
      </w:r>
    </w:p>
    <w:tbl>
      <w:tblPr>
        <w:tblStyle w:val="TableList2"/>
        <w:tblW w:w="0" w:type="auto"/>
        <w:tblLook w:val="04A0" w:firstRow="1" w:lastRow="0" w:firstColumn="1" w:lastColumn="0" w:noHBand="0" w:noVBand="1"/>
      </w:tblPr>
      <w:tblGrid>
        <w:gridCol w:w="9026"/>
      </w:tblGrid>
      <w:tr w:rsidR="008A0A36" w:rsidRPr="00B50322" w14:paraId="6F60DAB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6694A3E8" w14:textId="77777777" w:rsidR="008A0A36" w:rsidRPr="00546013" w:rsidRDefault="008A0A36" w:rsidP="00C90B56">
            <w:pPr>
              <w:jc w:val="both"/>
              <w:rPr>
                <w:b w:val="0"/>
                <w:bCs w:val="0"/>
              </w:rPr>
            </w:pPr>
            <w:bookmarkStart w:id="31" w:name="_Hlk200038819"/>
            <w:r>
              <w:t xml:space="preserve">Q14: </w:t>
            </w:r>
            <w:r w:rsidRPr="00A1337E">
              <w:t>Are you aware of any wider industry developments that may impact upon or be impacted by this CP?</w:t>
            </w:r>
          </w:p>
        </w:tc>
      </w:tr>
    </w:tbl>
    <w:bookmarkEnd w:id="31"/>
    <w:p w14:paraId="71B46E3B" w14:textId="77777777" w:rsidR="008A0A36" w:rsidRDefault="008A0A36">
      <w:pPr>
        <w:pStyle w:val="ListParagraph"/>
        <w:numPr>
          <w:ilvl w:val="1"/>
          <w:numId w:val="22"/>
        </w:numPr>
      </w:pPr>
      <w:r>
        <w:t xml:space="preserve"> It was noted that the DUoS SCRs and MHHS programmes may be impacted by this change.</w:t>
      </w:r>
    </w:p>
    <w:tbl>
      <w:tblPr>
        <w:tblStyle w:val="TableList2"/>
        <w:tblW w:w="0" w:type="auto"/>
        <w:tblLook w:val="04A0" w:firstRow="1" w:lastRow="0" w:firstColumn="1" w:lastColumn="0" w:noHBand="0" w:noVBand="1"/>
      </w:tblPr>
      <w:tblGrid>
        <w:gridCol w:w="9026"/>
      </w:tblGrid>
      <w:tr w:rsidR="008A0A36" w:rsidRPr="00B50322" w14:paraId="3D7CFC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F5CB17" w14:textId="77777777" w:rsidR="008A0A36" w:rsidRPr="00546013" w:rsidRDefault="008A0A36" w:rsidP="00C90B56">
            <w:pPr>
              <w:jc w:val="both"/>
              <w:rPr>
                <w:b w:val="0"/>
                <w:bCs w:val="0"/>
              </w:rPr>
            </w:pPr>
            <w:r>
              <w:t xml:space="preserve">Q15: </w:t>
            </w:r>
            <w:r w:rsidRPr="00FE1F8F">
              <w:t>Are you supportive of the proposal’s implementation date?</w:t>
            </w:r>
          </w:p>
        </w:tc>
      </w:tr>
    </w:tbl>
    <w:p w14:paraId="7EEA2870" w14:textId="77777777" w:rsidR="008A0A36" w:rsidRDefault="008A0A36">
      <w:pPr>
        <w:pStyle w:val="ListParagraph"/>
        <w:numPr>
          <w:ilvl w:val="1"/>
          <w:numId w:val="22"/>
        </w:numPr>
      </w:pPr>
      <w:r>
        <w:t xml:space="preserve"> Six respondents stated that they were supportive of the proposed implementation date.</w:t>
      </w:r>
    </w:p>
    <w:p w14:paraId="781E5AC7" w14:textId="77777777" w:rsidR="008A0A36" w:rsidRDefault="008A0A36">
      <w:pPr>
        <w:pStyle w:val="ListParagraph"/>
        <w:numPr>
          <w:ilvl w:val="1"/>
          <w:numId w:val="22"/>
        </w:numPr>
      </w:pPr>
      <w:r>
        <w:t xml:space="preserve"> Two respondents noted that the proposed date of 01 April 2026 would potentially mean a derogation is required. One of these respondents also noted that the scale of system change also made the proposed implementation date challenging.</w:t>
      </w:r>
    </w:p>
    <w:p w14:paraId="3F8D7B81" w14:textId="77777777" w:rsidR="008A0A36" w:rsidRDefault="008A0A36">
      <w:pPr>
        <w:pStyle w:val="ListParagraph"/>
        <w:numPr>
          <w:ilvl w:val="1"/>
          <w:numId w:val="22"/>
        </w:numPr>
      </w:pPr>
      <w:r>
        <w:t xml:space="preserve"> One responder noted that the </w:t>
      </w:r>
      <w:r w:rsidRPr="00CD43A0">
        <w:t xml:space="preserve">date </w:t>
      </w:r>
      <w:r>
        <w:t>should</w:t>
      </w:r>
      <w:r w:rsidRPr="00CD43A0">
        <w:t xml:space="preserve"> be driven by the date Distribution Prices have to be published i.e. 15 months prior to effective date.</w:t>
      </w:r>
    </w:p>
    <w:tbl>
      <w:tblPr>
        <w:tblStyle w:val="TableList2"/>
        <w:tblW w:w="0" w:type="auto"/>
        <w:tblLook w:val="04A0" w:firstRow="1" w:lastRow="0" w:firstColumn="1" w:lastColumn="0" w:noHBand="0" w:noVBand="1"/>
      </w:tblPr>
      <w:tblGrid>
        <w:gridCol w:w="9026"/>
      </w:tblGrid>
      <w:tr w:rsidR="008A0A36" w:rsidRPr="00B50322" w14:paraId="5B859494"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C7DD67" w14:textId="77777777" w:rsidR="008A0A36" w:rsidRPr="00546013" w:rsidRDefault="008A0A36" w:rsidP="00C90B56">
            <w:pPr>
              <w:jc w:val="both"/>
              <w:rPr>
                <w:b w:val="0"/>
                <w:bCs w:val="0"/>
              </w:rPr>
            </w:pPr>
            <w:r>
              <w:t xml:space="preserve">Q16: </w:t>
            </w:r>
            <w:r w:rsidRPr="00A9519E">
              <w:t>Does the legal text suitably and clearly delivery the proposed solution? If not, please provide rationale</w:t>
            </w:r>
            <w:r>
              <w:t>.</w:t>
            </w:r>
          </w:p>
        </w:tc>
      </w:tr>
    </w:tbl>
    <w:p w14:paraId="2EA1DBA4" w14:textId="77777777" w:rsidR="008A0A36" w:rsidRDefault="008A0A36">
      <w:pPr>
        <w:pStyle w:val="ListParagraph"/>
        <w:numPr>
          <w:ilvl w:val="1"/>
          <w:numId w:val="22"/>
        </w:numPr>
      </w:pPr>
      <w:r>
        <w:t xml:space="preserve"> Seven responders stated that they believed the proposed legal text was suitable. </w:t>
      </w:r>
    </w:p>
    <w:p w14:paraId="1273EF4F" w14:textId="77777777" w:rsidR="008A0A36" w:rsidRDefault="008A0A36">
      <w:pPr>
        <w:pStyle w:val="ListParagraph"/>
        <w:numPr>
          <w:ilvl w:val="1"/>
          <w:numId w:val="22"/>
        </w:numPr>
      </w:pPr>
      <w:r>
        <w:t xml:space="preserve"> One responder said they would </w:t>
      </w:r>
      <w:r w:rsidRPr="006E47A6">
        <w:t>welcome some additional wording to make the proposed mechanism much more transparent to the average reader, by adding wording along the lines of: “For any individual exceedance, the exceeded capacity charge is due to be paid for 12 months”.</w:t>
      </w:r>
    </w:p>
    <w:p w14:paraId="04B05D2E" w14:textId="77777777" w:rsidR="008A0A36" w:rsidRPr="00485E69" w:rsidRDefault="008A0A36">
      <w:pPr>
        <w:pStyle w:val="ListParagraph"/>
        <w:numPr>
          <w:ilvl w:val="1"/>
          <w:numId w:val="22"/>
        </w:numPr>
      </w:pPr>
      <w:r>
        <w:t xml:space="preserve"> One responder stated that th</w:t>
      </w:r>
      <w:r w:rsidRPr="00485E69">
        <w:t xml:space="preserve">e legal text for billing the highest MD over 12 months does not deal with the proposition under examples 7 and 8 to negate the excess capacity if the MIC is changed. </w:t>
      </w:r>
    </w:p>
    <w:p w14:paraId="7CF35904" w14:textId="77777777" w:rsidR="008A0A36" w:rsidRDefault="008A0A36">
      <w:pPr>
        <w:pStyle w:val="ListParagraph"/>
        <w:numPr>
          <w:ilvl w:val="1"/>
          <w:numId w:val="22"/>
        </w:numPr>
      </w:pPr>
      <w:r>
        <w:t xml:space="preserve"> They also highlighted that n</w:t>
      </w:r>
      <w:r w:rsidRPr="00485E69">
        <w:t>o legal text has been proposed for the reintroduction of the differential tariffs.</w:t>
      </w:r>
    </w:p>
    <w:tbl>
      <w:tblPr>
        <w:tblStyle w:val="TableList2"/>
        <w:tblW w:w="0" w:type="auto"/>
        <w:tblLook w:val="04A0" w:firstRow="1" w:lastRow="0" w:firstColumn="1" w:lastColumn="0" w:noHBand="0" w:noVBand="1"/>
      </w:tblPr>
      <w:tblGrid>
        <w:gridCol w:w="9026"/>
      </w:tblGrid>
      <w:tr w:rsidR="008A0A36" w:rsidRPr="00B50322" w14:paraId="1E81358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AEE35" w14:textId="77777777" w:rsidR="008A0A36" w:rsidRPr="00546013" w:rsidRDefault="008A0A36" w:rsidP="00C90B56">
            <w:pPr>
              <w:jc w:val="both"/>
              <w:rPr>
                <w:b w:val="0"/>
                <w:bCs w:val="0"/>
              </w:rPr>
            </w:pPr>
            <w:r>
              <w:t xml:space="preserve">Q17: </w:t>
            </w:r>
            <w:r w:rsidRPr="008C5E50">
              <w:t>Do you have any comments on the draft legal text?</w:t>
            </w:r>
          </w:p>
        </w:tc>
      </w:tr>
    </w:tbl>
    <w:p w14:paraId="5DF05B4E" w14:textId="77777777" w:rsidR="008A0A36" w:rsidRDefault="008A0A36">
      <w:pPr>
        <w:pStyle w:val="ListParagraph"/>
        <w:numPr>
          <w:ilvl w:val="1"/>
          <w:numId w:val="22"/>
        </w:numPr>
      </w:pPr>
      <w:r>
        <w:t xml:space="preserve"> Six responders stated that they had no comment on the legal text.</w:t>
      </w:r>
    </w:p>
    <w:p w14:paraId="68EBAD8E" w14:textId="77777777" w:rsidR="008A0A36" w:rsidRDefault="008A0A36">
      <w:pPr>
        <w:pStyle w:val="ListParagraph"/>
        <w:numPr>
          <w:ilvl w:val="1"/>
          <w:numId w:val="22"/>
        </w:numPr>
      </w:pPr>
      <w:r>
        <w:t xml:space="preserve"> Two highlighted the comments that they’d raised in response to question 16.</w:t>
      </w:r>
    </w:p>
    <w:p w14:paraId="346E01D8" w14:textId="77777777" w:rsidR="008A0A36" w:rsidRDefault="008A0A36">
      <w:pPr>
        <w:pStyle w:val="ListParagraph"/>
        <w:numPr>
          <w:ilvl w:val="1"/>
          <w:numId w:val="22"/>
        </w:numPr>
      </w:pPr>
      <w:r>
        <w:t xml:space="preserve"> One responder highlighted that there was no draft legal text for the differential solution.</w:t>
      </w:r>
    </w:p>
    <w:tbl>
      <w:tblPr>
        <w:tblStyle w:val="TableList2"/>
        <w:tblW w:w="0" w:type="auto"/>
        <w:tblLook w:val="04A0" w:firstRow="1" w:lastRow="0" w:firstColumn="1" w:lastColumn="0" w:noHBand="0" w:noVBand="1"/>
      </w:tblPr>
      <w:tblGrid>
        <w:gridCol w:w="9026"/>
      </w:tblGrid>
      <w:tr w:rsidR="008A0A36" w:rsidRPr="00B50322" w14:paraId="4F9E98A2"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B498C77" w14:textId="77777777" w:rsidR="008A0A36" w:rsidRPr="00546013" w:rsidRDefault="008A0A36" w:rsidP="00C90B56">
            <w:pPr>
              <w:jc w:val="both"/>
              <w:rPr>
                <w:b w:val="0"/>
                <w:bCs w:val="0"/>
              </w:rPr>
            </w:pPr>
            <w:bookmarkStart w:id="32" w:name="_Hlk200040837"/>
            <w:r>
              <w:t xml:space="preserve">Q18: </w:t>
            </w:r>
            <w:r w:rsidRPr="004F32D2">
              <w:t>Should the legal text explain the impact of this change?</w:t>
            </w:r>
          </w:p>
        </w:tc>
      </w:tr>
    </w:tbl>
    <w:bookmarkEnd w:id="32"/>
    <w:p w14:paraId="12524BCE" w14:textId="77777777" w:rsidR="008A0A36" w:rsidRDefault="008A0A36">
      <w:pPr>
        <w:pStyle w:val="ListParagraph"/>
        <w:numPr>
          <w:ilvl w:val="1"/>
          <w:numId w:val="22"/>
        </w:numPr>
      </w:pPr>
      <w:r>
        <w:t xml:space="preserve"> Six respondents said they believed the legal text should explain the impact of the change.</w:t>
      </w:r>
    </w:p>
    <w:p w14:paraId="7A32E637" w14:textId="77777777" w:rsidR="008A0A36" w:rsidRDefault="008A0A36">
      <w:pPr>
        <w:pStyle w:val="ListParagraph"/>
        <w:numPr>
          <w:ilvl w:val="1"/>
          <w:numId w:val="22"/>
        </w:numPr>
      </w:pPr>
      <w:r>
        <w:t>One of these six responses also suggested some form of communication from the DNOs to consumers could also explain the impact of the change.</w:t>
      </w:r>
    </w:p>
    <w:p w14:paraId="0DB6B7A8" w14:textId="77777777" w:rsidR="008A0A36" w:rsidRDefault="008A0A36">
      <w:pPr>
        <w:pStyle w:val="ListParagraph"/>
        <w:numPr>
          <w:ilvl w:val="1"/>
          <w:numId w:val="22"/>
        </w:numPr>
      </w:pPr>
      <w:r>
        <w:lastRenderedPageBreak/>
        <w:t xml:space="preserve"> Three responses said no to this question and suggested the impact could be included in the LC14 statements.</w:t>
      </w:r>
    </w:p>
    <w:p w14:paraId="35B05C42" w14:textId="77777777" w:rsidR="008A0A36" w:rsidRDefault="008A0A36">
      <w:pPr>
        <w:pStyle w:val="ListParagraph"/>
        <w:numPr>
          <w:ilvl w:val="1"/>
          <w:numId w:val="22"/>
        </w:numPr>
      </w:pPr>
      <w:r>
        <w:t xml:space="preserve"> One of these three respondents drew attention to the fact </w:t>
      </w:r>
      <w:r w:rsidRPr="00E74729">
        <w:t>this is not an approach taken in DCUSA with other elements of the charges</w:t>
      </w:r>
      <w:r>
        <w:t>.</w:t>
      </w:r>
    </w:p>
    <w:tbl>
      <w:tblPr>
        <w:tblStyle w:val="TableList2"/>
        <w:tblW w:w="0" w:type="auto"/>
        <w:tblLook w:val="04A0" w:firstRow="1" w:lastRow="0" w:firstColumn="1" w:lastColumn="0" w:noHBand="0" w:noVBand="1"/>
      </w:tblPr>
      <w:tblGrid>
        <w:gridCol w:w="9026"/>
      </w:tblGrid>
      <w:tr w:rsidR="008A0A36" w:rsidRPr="00B50322" w14:paraId="4F9982D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9D01A9B" w14:textId="77777777" w:rsidR="008A0A36" w:rsidRPr="00546013" w:rsidRDefault="008A0A36" w:rsidP="00C90B56">
            <w:pPr>
              <w:jc w:val="both"/>
              <w:rPr>
                <w:b w:val="0"/>
                <w:bCs w:val="0"/>
              </w:rPr>
            </w:pPr>
            <w:r>
              <w:t xml:space="preserve">Q19: </w:t>
            </w:r>
            <w:r w:rsidRPr="00583C6D">
              <w:t>Do you have any comments on the proposed wording regarding the impact?</w:t>
            </w:r>
          </w:p>
        </w:tc>
      </w:tr>
    </w:tbl>
    <w:p w14:paraId="4F3DB72B" w14:textId="77777777" w:rsidR="008A0A36" w:rsidRDefault="008A0A36">
      <w:pPr>
        <w:pStyle w:val="ListParagraph"/>
        <w:numPr>
          <w:ilvl w:val="1"/>
          <w:numId w:val="22"/>
        </w:numPr>
      </w:pPr>
      <w:r>
        <w:t xml:space="preserve"> Eight respondents said they didn’t have any comments on the proposed wording of the impact.</w:t>
      </w:r>
    </w:p>
    <w:p w14:paraId="0DA8BB86" w14:textId="77777777" w:rsidR="008A0A36" w:rsidRDefault="008A0A36">
      <w:pPr>
        <w:pStyle w:val="ListParagraph"/>
        <w:numPr>
          <w:ilvl w:val="1"/>
          <w:numId w:val="22"/>
        </w:numPr>
      </w:pPr>
      <w:r>
        <w:t xml:space="preserve"> One of these noted that the legal text would unlikely be seen by an end user and asked how an end user would see the impact of this change.</w:t>
      </w:r>
    </w:p>
    <w:p w14:paraId="1D2EC16C" w14:textId="77777777" w:rsidR="008A0A36" w:rsidRDefault="008A0A36">
      <w:pPr>
        <w:pStyle w:val="ListParagraph"/>
        <w:numPr>
          <w:ilvl w:val="1"/>
          <w:numId w:val="22"/>
        </w:numPr>
      </w:pPr>
      <w:r>
        <w:t xml:space="preserve"> One responder stated that the wording that they suggested in paragraph 5.42 could be used.</w:t>
      </w:r>
    </w:p>
    <w:tbl>
      <w:tblPr>
        <w:tblStyle w:val="TableList2"/>
        <w:tblW w:w="0" w:type="auto"/>
        <w:tblLook w:val="04A0" w:firstRow="1" w:lastRow="0" w:firstColumn="1" w:lastColumn="0" w:noHBand="0" w:noVBand="1"/>
      </w:tblPr>
      <w:tblGrid>
        <w:gridCol w:w="9026"/>
      </w:tblGrid>
      <w:tr w:rsidR="008A0A36" w:rsidRPr="00B50322" w14:paraId="2F418E4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5BF197D" w14:textId="77777777" w:rsidR="008A0A36" w:rsidRPr="00546013" w:rsidRDefault="008A0A36" w:rsidP="00C90B56">
            <w:pPr>
              <w:jc w:val="both"/>
              <w:rPr>
                <w:b w:val="0"/>
                <w:bCs w:val="0"/>
              </w:rPr>
            </w:pPr>
            <w:r>
              <w:t xml:space="preserve">Q20: </w:t>
            </w:r>
            <w:r w:rsidRPr="00332D67">
              <w:t>How should the legal text deal with changes in MIC?</w:t>
            </w:r>
          </w:p>
        </w:tc>
      </w:tr>
    </w:tbl>
    <w:p w14:paraId="00FCFB2A" w14:textId="77777777" w:rsidR="008A0A36" w:rsidRDefault="008A0A36">
      <w:pPr>
        <w:pStyle w:val="ListParagraph"/>
        <w:numPr>
          <w:ilvl w:val="1"/>
          <w:numId w:val="22"/>
        </w:numPr>
      </w:pPr>
      <w:r>
        <w:t xml:space="preserve"> All respondents said that the process for this needs to be clear and transparent for suppliers and customers.</w:t>
      </w:r>
    </w:p>
    <w:p w14:paraId="043C2FE9" w14:textId="77777777" w:rsidR="008A0A36" w:rsidRDefault="008A0A36">
      <w:pPr>
        <w:pStyle w:val="ListParagraph"/>
        <w:numPr>
          <w:ilvl w:val="1"/>
          <w:numId w:val="22"/>
        </w:numPr>
      </w:pPr>
      <w:r>
        <w:t xml:space="preserve"> It was noted by some respondents that the LC14 statements my be the best place to articulate the process. </w:t>
      </w:r>
    </w:p>
    <w:p w14:paraId="1406B339" w14:textId="77777777" w:rsidR="008A0A36" w:rsidRDefault="008A0A36">
      <w:pPr>
        <w:pStyle w:val="ListParagraph"/>
        <w:numPr>
          <w:ilvl w:val="1"/>
          <w:numId w:val="22"/>
        </w:numPr>
      </w:pPr>
      <w:r>
        <w:t xml:space="preserve"> One responder noted that there</w:t>
      </w:r>
      <w:r w:rsidRPr="000C07CB">
        <w:t xml:space="preserve"> would need</w:t>
      </w:r>
      <w:r>
        <w:t xml:space="preserve"> to be</w:t>
      </w:r>
      <w:r w:rsidRPr="000C07CB">
        <w:t xml:space="preserve"> a section for exceptional circumstances with </w:t>
      </w:r>
      <w:r>
        <w:t xml:space="preserve">a </w:t>
      </w:r>
      <w:r w:rsidRPr="000C07CB">
        <w:t>full explanation of when a reset in the chargeable capacity is applicable</w:t>
      </w:r>
      <w:r>
        <w:t>.</w:t>
      </w:r>
    </w:p>
    <w:p w14:paraId="60164BCF" w14:textId="77777777" w:rsidR="008A0A36" w:rsidRPr="008306CA" w:rsidRDefault="008A0A36">
      <w:pPr>
        <w:pStyle w:val="ListParagraph"/>
        <w:numPr>
          <w:ilvl w:val="1"/>
          <w:numId w:val="22"/>
        </w:numPr>
      </w:pPr>
      <w:r>
        <w:t xml:space="preserve"> A number of respondents suggested some changes to the legal text and these suggestions can be found within </w:t>
      </w:r>
      <w:r w:rsidRPr="00672EDE">
        <w:rPr>
          <w:b/>
          <w:bCs/>
        </w:rPr>
        <w:t>Attachment 4: DCP 443 Consultation Responses</w:t>
      </w:r>
      <w:r>
        <w:rPr>
          <w:b/>
          <w:bCs/>
        </w:rPr>
        <w:t>.</w:t>
      </w:r>
    </w:p>
    <w:tbl>
      <w:tblPr>
        <w:tblStyle w:val="TableList2"/>
        <w:tblW w:w="0" w:type="auto"/>
        <w:tblLook w:val="04A0" w:firstRow="1" w:lastRow="0" w:firstColumn="1" w:lastColumn="0" w:noHBand="0" w:noVBand="1"/>
      </w:tblPr>
      <w:tblGrid>
        <w:gridCol w:w="9026"/>
      </w:tblGrid>
      <w:tr w:rsidR="008A0A36" w:rsidRPr="00B50322" w14:paraId="59E8F47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2672450" w14:textId="77777777" w:rsidR="008A0A36" w:rsidRPr="00546013" w:rsidRDefault="008A0A36" w:rsidP="00C90B56">
            <w:pPr>
              <w:jc w:val="both"/>
              <w:rPr>
                <w:b w:val="0"/>
                <w:bCs w:val="0"/>
              </w:rPr>
            </w:pPr>
            <w:r>
              <w:t xml:space="preserve">Q21: </w:t>
            </w:r>
            <w:r w:rsidRPr="006C4328">
              <w:t>Do you have any additional comments for this consultation?</w:t>
            </w:r>
          </w:p>
        </w:tc>
      </w:tr>
    </w:tbl>
    <w:p w14:paraId="58F86109" w14:textId="77777777" w:rsidR="008A0A36" w:rsidRDefault="008A0A36">
      <w:pPr>
        <w:pStyle w:val="ListParagraph"/>
        <w:numPr>
          <w:ilvl w:val="1"/>
          <w:numId w:val="22"/>
        </w:numPr>
      </w:pPr>
      <w:r>
        <w:t xml:space="preserve"> Eight responders offered no further comment. </w:t>
      </w:r>
    </w:p>
    <w:p w14:paraId="4BAF7940" w14:textId="77777777" w:rsidR="008A0A36" w:rsidRDefault="008A0A36">
      <w:pPr>
        <w:pStyle w:val="ListParagraph"/>
        <w:numPr>
          <w:ilvl w:val="1"/>
          <w:numId w:val="22"/>
        </w:numPr>
      </w:pPr>
      <w:r>
        <w:t xml:space="preserve"> One responder noted that it </w:t>
      </w:r>
      <w:r w:rsidRPr="000C275F">
        <w:t>would be helpful to see some kind of quantification of the size of the issue. Both in terms of the number of sites exceeding their capacity and the number of sites exceeding on a long-term basis</w:t>
      </w:r>
      <w:r>
        <w:t>.</w:t>
      </w:r>
    </w:p>
    <w:p w14:paraId="218B738A" w14:textId="3E949D54" w:rsidR="008A0A36" w:rsidRPr="008A0A36" w:rsidRDefault="008A0A36" w:rsidP="008A0A36">
      <w:pPr>
        <w:pStyle w:val="Heading2"/>
      </w:pPr>
      <w:r>
        <w:t>They highlighted that th</w:t>
      </w:r>
      <w:r w:rsidRPr="00F344DD">
        <w:t>ere was an RFI for DCP 161 which introduced the differential between the capacity and excess capacity tariffs</w:t>
      </w:r>
      <w:r>
        <w:t>, and that a similar RFI could be issued for recent data. This RFIs data could then be used</w:t>
      </w:r>
      <w:r w:rsidRPr="00A33DDC">
        <w:t xml:space="preserve"> to compare any current data with the data from </w:t>
      </w:r>
      <w:r>
        <w:t>DCP 161</w:t>
      </w:r>
      <w:r w:rsidRPr="00A33DDC">
        <w:t>, if it is available, to identify any changes in behaviour which came about as a result of DCP 161. Issuing the same RFI again could mean that the data is directly comparabl</w:t>
      </w:r>
      <w:r w:rsidR="00644F45">
        <w:t>e.</w:t>
      </w:r>
    </w:p>
    <w:bookmarkEnd w:id="15"/>
    <w:bookmarkEnd w:id="16"/>
    <w:p w14:paraId="5F77B261" w14:textId="3544B992" w:rsidR="00B52063" w:rsidRPr="00EB32BB" w:rsidRDefault="00644F45" w:rsidP="00644F45">
      <w:pPr>
        <w:pStyle w:val="Heading02"/>
      </w:pPr>
      <w:r w:rsidRPr="00644F45">
        <w:t xml:space="preserve">Working Group </w:t>
      </w:r>
      <w:r w:rsidR="00754093">
        <w:t>RFI</w:t>
      </w:r>
    </w:p>
    <w:p w14:paraId="16ABCB6D" w14:textId="77777777" w:rsidR="00754093" w:rsidRDefault="00754093">
      <w:pPr>
        <w:pStyle w:val="ListParagraph"/>
        <w:numPr>
          <w:ilvl w:val="1"/>
          <w:numId w:val="23"/>
        </w:numPr>
      </w:pPr>
      <w:r w:rsidRPr="00754093">
        <w:t>The Working Group reviewed the consultation responses and agreed that they would like some additional information before they can draw their conclusions. Due to this the Working Group agreed that they would issue a Request For Information (RFI) for further industry input.</w:t>
      </w:r>
    </w:p>
    <w:p w14:paraId="06408D0B" w14:textId="57A7D58F" w:rsidR="00754093" w:rsidRPr="00754093" w:rsidRDefault="00754093" w:rsidP="00754093">
      <w:pPr>
        <w:pStyle w:val="ListParagraph"/>
        <w:ind w:left="390"/>
        <w:rPr>
          <w:b/>
          <w:bCs/>
          <w:color w:val="008576"/>
        </w:rPr>
      </w:pPr>
      <w:r w:rsidRPr="00754093">
        <w:rPr>
          <w:b/>
          <w:bCs/>
          <w:color w:val="008576"/>
        </w:rPr>
        <w:t>Potential customer and supplier impacts, and cost reflectivity.</w:t>
      </w:r>
    </w:p>
    <w:p w14:paraId="056EABE2" w14:textId="77777777" w:rsidR="00754093" w:rsidRDefault="00754093">
      <w:pPr>
        <w:pStyle w:val="ListParagraph"/>
        <w:numPr>
          <w:ilvl w:val="1"/>
          <w:numId w:val="23"/>
        </w:numPr>
      </w:pPr>
      <w:r w:rsidRPr="00754093">
        <w:lastRenderedPageBreak/>
        <w:t xml:space="preserve">The Working Group discussed the potential customer impacts and costs associated with a site exceeding their capacity. </w:t>
      </w:r>
    </w:p>
    <w:p w14:paraId="369C14B9" w14:textId="4BA148B2" w:rsidR="00644F45" w:rsidRDefault="00754093">
      <w:pPr>
        <w:pStyle w:val="ListParagraph"/>
        <w:numPr>
          <w:ilvl w:val="1"/>
          <w:numId w:val="23"/>
        </w:numPr>
      </w:pPr>
      <w:r w:rsidRPr="00754093">
        <w:t xml:space="preserve">The Working Group were unsure on whether there were any associated costs/impacts to customers and suppliers when a site exceeds its capacity so they </w:t>
      </w:r>
      <w:r>
        <w:t>requested</w:t>
      </w:r>
      <w:r w:rsidRPr="00754093">
        <w:t xml:space="preserve"> industry input as to what those impacts and costs to suppliers and customers could be</w:t>
      </w:r>
      <w:r w:rsidR="00644F45">
        <w:t>.</w:t>
      </w:r>
    </w:p>
    <w:tbl>
      <w:tblPr>
        <w:tblStyle w:val="TableList2"/>
        <w:tblW w:w="0" w:type="auto"/>
        <w:tblLook w:val="04A0" w:firstRow="1" w:lastRow="0" w:firstColumn="1" w:lastColumn="0" w:noHBand="0" w:noVBand="1"/>
      </w:tblPr>
      <w:tblGrid>
        <w:gridCol w:w="9026"/>
      </w:tblGrid>
      <w:tr w:rsidR="00754093" w:rsidRPr="00B50322" w14:paraId="5D392EDF" w14:textId="77777777" w:rsidTr="00754093">
        <w:trPr>
          <w:cnfStyle w:val="100000000000" w:firstRow="1" w:lastRow="0" w:firstColumn="0" w:lastColumn="0" w:oddVBand="0" w:evenVBand="0" w:oddHBand="0" w:evenHBand="0" w:firstRowFirstColumn="0" w:firstRowLastColumn="0" w:lastRowFirstColumn="0" w:lastRowLastColumn="0"/>
        </w:trPr>
        <w:tc>
          <w:tcPr>
            <w:tcW w:w="9026" w:type="dxa"/>
          </w:tcPr>
          <w:p w14:paraId="2D0CC047" w14:textId="299C8905" w:rsidR="00754093" w:rsidRPr="00546013" w:rsidRDefault="00754093" w:rsidP="00C90B56">
            <w:pPr>
              <w:jc w:val="both"/>
              <w:rPr>
                <w:b w:val="0"/>
                <w:bCs w:val="0"/>
              </w:rPr>
            </w:pPr>
            <w:r w:rsidRPr="00754093">
              <w:t>Question 1 – What (if any) impacts, including the types of additional costs, does a customer cause when they exceed their capacity, and under what circumstances?</w:t>
            </w:r>
          </w:p>
        </w:tc>
      </w:tr>
    </w:tbl>
    <w:p w14:paraId="2BE3BDE5" w14:textId="79466B39" w:rsidR="00754093" w:rsidRDefault="00754093">
      <w:pPr>
        <w:pStyle w:val="ListParagraph"/>
        <w:numPr>
          <w:ilvl w:val="1"/>
          <w:numId w:val="23"/>
        </w:numPr>
      </w:pPr>
      <w:r>
        <w:t>It was</w:t>
      </w:r>
      <w:r w:rsidRPr="00754093">
        <w:t xml:space="preserve"> noted that all of the responses were </w:t>
      </w:r>
      <w:r w:rsidR="001019BE" w:rsidRPr="00754093">
        <w:t>consistent</w:t>
      </w:r>
      <w:r w:rsidRPr="00754093">
        <w:t xml:space="preserve"> in terms of impacts caused when a </w:t>
      </w:r>
      <w:r w:rsidR="000C257F" w:rsidRPr="00754093">
        <w:t>customer</w:t>
      </w:r>
      <w:r w:rsidRPr="00754093">
        <w:t xml:space="preserve"> exceeds their capacity</w:t>
      </w:r>
      <w:r>
        <w:t>. A list of impacts are below,</w:t>
      </w:r>
    </w:p>
    <w:p w14:paraId="419D7545" w14:textId="438A8546" w:rsidR="00754093" w:rsidRDefault="00754093">
      <w:pPr>
        <w:pStyle w:val="ListParagraph"/>
        <w:numPr>
          <w:ilvl w:val="0"/>
          <w:numId w:val="24"/>
        </w:numPr>
      </w:pPr>
      <w:r>
        <w:t xml:space="preserve">Risk of overloads in areas where the demand for capacity exceeds </w:t>
      </w:r>
      <w:r w:rsidR="000B137D">
        <w:t>what the network has been designed for</w:t>
      </w:r>
      <w:r>
        <w:t>,</w:t>
      </w:r>
    </w:p>
    <w:p w14:paraId="37301765" w14:textId="0F2A20D2" w:rsidR="00754093" w:rsidRDefault="000B137D">
      <w:pPr>
        <w:pStyle w:val="ListParagraph"/>
        <w:numPr>
          <w:ilvl w:val="0"/>
          <w:numId w:val="24"/>
        </w:numPr>
      </w:pPr>
      <w:r>
        <w:t>Shortening the lifespan of assets,</w:t>
      </w:r>
    </w:p>
    <w:p w14:paraId="638B0B58" w14:textId="50208E87" w:rsidR="000B137D" w:rsidRDefault="000B137D">
      <w:pPr>
        <w:pStyle w:val="ListParagraph"/>
        <w:numPr>
          <w:ilvl w:val="0"/>
          <w:numId w:val="24"/>
        </w:numPr>
      </w:pPr>
      <w:r>
        <w:t>Risk of outages due to damaged assets,</w:t>
      </w:r>
    </w:p>
    <w:p w14:paraId="445C8897" w14:textId="7B9624F4" w:rsidR="000B137D" w:rsidRDefault="000B137D">
      <w:pPr>
        <w:pStyle w:val="ListParagraph"/>
        <w:numPr>
          <w:ilvl w:val="0"/>
          <w:numId w:val="24"/>
        </w:numPr>
      </w:pPr>
      <w:r>
        <w:t>Safety risks due to assets becoming damaged/faulty,</w:t>
      </w:r>
    </w:p>
    <w:p w14:paraId="16A59164" w14:textId="58D4C67A" w:rsidR="000B137D" w:rsidRDefault="000B137D">
      <w:pPr>
        <w:pStyle w:val="ListParagraph"/>
        <w:numPr>
          <w:ilvl w:val="0"/>
          <w:numId w:val="24"/>
        </w:numPr>
      </w:pPr>
      <w:r>
        <w:t>Increased costs to replace damaged assets,</w:t>
      </w:r>
    </w:p>
    <w:p w14:paraId="2751FC8A" w14:textId="6CBFE758" w:rsidR="000B137D" w:rsidRDefault="000B137D">
      <w:pPr>
        <w:pStyle w:val="ListParagraph"/>
        <w:numPr>
          <w:ilvl w:val="0"/>
          <w:numId w:val="24"/>
        </w:numPr>
      </w:pPr>
      <w:r>
        <w:t>Increased reinforcement costs,</w:t>
      </w:r>
    </w:p>
    <w:p w14:paraId="665B1CAF" w14:textId="5F0E04EB" w:rsidR="00644F45" w:rsidRDefault="00644F45" w:rsidP="000B137D"/>
    <w:tbl>
      <w:tblPr>
        <w:tblStyle w:val="TableList2"/>
        <w:tblW w:w="0" w:type="auto"/>
        <w:tblLook w:val="04A0" w:firstRow="1" w:lastRow="0" w:firstColumn="1" w:lastColumn="0" w:noHBand="0" w:noVBand="1"/>
      </w:tblPr>
      <w:tblGrid>
        <w:gridCol w:w="9026"/>
      </w:tblGrid>
      <w:tr w:rsidR="00754093" w:rsidRPr="00B50322" w14:paraId="18ABBAAE"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7560ABCC" w14:textId="0F256B92" w:rsidR="00754093" w:rsidRPr="00546013" w:rsidRDefault="00754093" w:rsidP="00C90B56">
            <w:pPr>
              <w:jc w:val="both"/>
              <w:rPr>
                <w:b w:val="0"/>
                <w:bCs w:val="0"/>
              </w:rPr>
            </w:pPr>
            <w:r w:rsidRPr="00754093">
              <w:t>Question 2 - What are the potential impacts to other customers and suppliers when a site exceeds its capacity?</w:t>
            </w:r>
          </w:p>
        </w:tc>
      </w:tr>
    </w:tbl>
    <w:p w14:paraId="4571D9DF" w14:textId="77777777" w:rsidR="000B137D" w:rsidRDefault="000B137D">
      <w:pPr>
        <w:pStyle w:val="ListParagraph"/>
        <w:numPr>
          <w:ilvl w:val="1"/>
          <w:numId w:val="23"/>
        </w:numPr>
      </w:pPr>
      <w:r w:rsidRPr="000B137D">
        <w:t xml:space="preserve">One response suggested that increased kVa running through a network will result in higher losses, leading to additional costs passed on to Suppliers and Customers. </w:t>
      </w:r>
    </w:p>
    <w:p w14:paraId="0F288D5B" w14:textId="77777777" w:rsidR="000B137D" w:rsidRDefault="000B137D">
      <w:pPr>
        <w:pStyle w:val="ListParagraph"/>
        <w:numPr>
          <w:ilvl w:val="1"/>
          <w:numId w:val="23"/>
        </w:numPr>
      </w:pPr>
      <w:r w:rsidRPr="000B137D">
        <w:t>The responde</w:t>
      </w:r>
      <w:r>
        <w:t>r</w:t>
      </w:r>
      <w:r w:rsidRPr="000B137D">
        <w:t xml:space="preserve"> also suggested that overuse may cause faults or necessitate reinforcement, potentially leading to power outages.</w:t>
      </w:r>
    </w:p>
    <w:p w14:paraId="6FDDC877" w14:textId="1C022BD7" w:rsidR="00754093" w:rsidRDefault="000B137D">
      <w:pPr>
        <w:pStyle w:val="ListParagraph"/>
        <w:numPr>
          <w:ilvl w:val="1"/>
          <w:numId w:val="23"/>
        </w:numPr>
      </w:pPr>
      <w:r w:rsidRPr="000B137D">
        <w:t xml:space="preserve">In regard to the above response, </w:t>
      </w:r>
      <w:r>
        <w:t>it was</w:t>
      </w:r>
      <w:r w:rsidRPr="000B137D">
        <w:t xml:space="preserve"> queried who would be responsible for paying the reinforcement</w:t>
      </w:r>
      <w:r>
        <w:t xml:space="preserve">. The Working Group were unsure if the NTCs stated that the </w:t>
      </w:r>
      <w:r w:rsidRPr="000B137D">
        <w:t xml:space="preserve">reinforcement is the responsibility of the Customer that has caused </w:t>
      </w:r>
      <w:commentRangeStart w:id="33"/>
      <w:r w:rsidRPr="000B137D">
        <w:t>the faults</w:t>
      </w:r>
      <w:r>
        <w:t>.</w:t>
      </w:r>
      <w:commentRangeEnd w:id="33"/>
      <w:r>
        <w:rPr>
          <w:rStyle w:val="CommentReference"/>
          <w:sz w:val="20"/>
          <w:szCs w:val="24"/>
        </w:rPr>
        <w:commentReference w:id="33"/>
      </w:r>
    </w:p>
    <w:tbl>
      <w:tblPr>
        <w:tblStyle w:val="TableList2"/>
        <w:tblW w:w="0" w:type="auto"/>
        <w:tblLook w:val="04A0" w:firstRow="1" w:lastRow="0" w:firstColumn="1" w:lastColumn="0" w:noHBand="0" w:noVBand="1"/>
      </w:tblPr>
      <w:tblGrid>
        <w:gridCol w:w="9026"/>
      </w:tblGrid>
      <w:tr w:rsidR="000B137D" w:rsidRPr="00B50322" w14:paraId="13C2B426"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3DFBB616" w14:textId="77777777" w:rsidR="000B137D" w:rsidRDefault="000B137D" w:rsidP="00C90B56">
            <w:pPr>
              <w:jc w:val="both"/>
              <w:rPr>
                <w:b w:val="0"/>
                <w:bCs w:val="0"/>
              </w:rPr>
            </w:pPr>
            <w:r w:rsidRPr="000B137D">
              <w:t xml:space="preserve">Question 3 – Could you please populate the template in Attachment 3 with the following data from April 2010 to October 2024: ‘MIC Data’ – Populate: - </w:t>
            </w:r>
          </w:p>
          <w:p w14:paraId="1F403749" w14:textId="73E4018F" w:rsidR="000B137D" w:rsidRDefault="000B137D" w:rsidP="00C90B56">
            <w:pPr>
              <w:jc w:val="both"/>
              <w:rPr>
                <w:b w:val="0"/>
                <w:bCs w:val="0"/>
              </w:rPr>
            </w:pPr>
            <w:r w:rsidRPr="000B137D">
              <w:t xml:space="preserve">Table 1 with the sum of MIC (kVA) per customer group </w:t>
            </w:r>
            <w:r>
              <w:t>–</w:t>
            </w:r>
            <w:r w:rsidRPr="000B137D">
              <w:t xml:space="preserve"> </w:t>
            </w:r>
          </w:p>
          <w:p w14:paraId="23A1F4D1" w14:textId="1A72429A" w:rsidR="000B137D" w:rsidRDefault="000B137D" w:rsidP="00C90B56">
            <w:pPr>
              <w:jc w:val="both"/>
              <w:rPr>
                <w:b w:val="0"/>
                <w:bCs w:val="0"/>
              </w:rPr>
            </w:pPr>
            <w:r w:rsidRPr="000B137D">
              <w:t xml:space="preserve">Table 2 with the sum of Chargeable Capacity (Max of MIC and MD) per customer group. </w:t>
            </w:r>
            <w:r>
              <w:t>–</w:t>
            </w:r>
          </w:p>
          <w:p w14:paraId="04E6C3C1" w14:textId="77777777" w:rsidR="000B137D" w:rsidRDefault="000B137D" w:rsidP="00C90B56">
            <w:pPr>
              <w:jc w:val="both"/>
              <w:rPr>
                <w:b w:val="0"/>
                <w:bCs w:val="0"/>
              </w:rPr>
            </w:pPr>
            <w:r w:rsidRPr="000B137D">
              <w:t xml:space="preserve">Table 3 and 4 will populate themselves. </w:t>
            </w:r>
          </w:p>
          <w:p w14:paraId="5CBAF5CE" w14:textId="77777777" w:rsidR="000B137D" w:rsidRDefault="000B137D" w:rsidP="00C90B56">
            <w:pPr>
              <w:jc w:val="both"/>
              <w:rPr>
                <w:b w:val="0"/>
                <w:bCs w:val="0"/>
              </w:rPr>
            </w:pPr>
            <w:r w:rsidRPr="000B137D">
              <w:t xml:space="preserve">‘Customer Numbers’ – Populate: - </w:t>
            </w:r>
          </w:p>
          <w:p w14:paraId="178E18D3" w14:textId="5EE22BAA" w:rsidR="000B137D" w:rsidRDefault="000B137D" w:rsidP="00C90B56">
            <w:pPr>
              <w:jc w:val="both"/>
              <w:rPr>
                <w:b w:val="0"/>
                <w:bCs w:val="0"/>
              </w:rPr>
            </w:pPr>
            <w:r w:rsidRPr="000B137D">
              <w:t xml:space="preserve">Table 1 with the number of sites that exceeded their capacity </w:t>
            </w:r>
            <w:r>
              <w:t>–</w:t>
            </w:r>
            <w:r w:rsidRPr="000B137D">
              <w:t xml:space="preserve"> </w:t>
            </w:r>
          </w:p>
          <w:p w14:paraId="38FC2F00" w14:textId="55CD19C0" w:rsidR="000B137D" w:rsidRDefault="000B137D" w:rsidP="00C90B56">
            <w:pPr>
              <w:jc w:val="both"/>
              <w:rPr>
                <w:b w:val="0"/>
                <w:bCs w:val="0"/>
              </w:rPr>
            </w:pPr>
            <w:r w:rsidRPr="000B137D">
              <w:t xml:space="preserve">Table 2 with the revenue from exceeded capacity charges </w:t>
            </w:r>
            <w:r>
              <w:t>–</w:t>
            </w:r>
            <w:r w:rsidRPr="000B137D">
              <w:t xml:space="preserve"> </w:t>
            </w:r>
          </w:p>
          <w:p w14:paraId="1756F6A9" w14:textId="2E546A59" w:rsidR="000B137D" w:rsidRDefault="000B137D" w:rsidP="00C90B56">
            <w:pPr>
              <w:jc w:val="both"/>
              <w:rPr>
                <w:b w:val="0"/>
                <w:bCs w:val="0"/>
              </w:rPr>
            </w:pPr>
            <w:r w:rsidRPr="000B137D">
              <w:t xml:space="preserve">Table 3 with the total number of sites on tariffs with capacity charges </w:t>
            </w:r>
            <w:r>
              <w:t>–</w:t>
            </w:r>
            <w:r w:rsidRPr="000B137D">
              <w:t xml:space="preserve"> </w:t>
            </w:r>
          </w:p>
          <w:p w14:paraId="59119D0C" w14:textId="3861B484" w:rsidR="000B137D" w:rsidRPr="00546013" w:rsidRDefault="000B137D" w:rsidP="00C90B56">
            <w:pPr>
              <w:jc w:val="both"/>
              <w:rPr>
                <w:b w:val="0"/>
                <w:bCs w:val="0"/>
              </w:rPr>
            </w:pPr>
            <w:r w:rsidRPr="000B137D">
              <w:lastRenderedPageBreak/>
              <w:t>Table 4 with the total revenue invoiced to customers on tariffs with capacity charges.</w:t>
            </w:r>
          </w:p>
        </w:tc>
      </w:tr>
    </w:tbl>
    <w:p w14:paraId="4D1E469E" w14:textId="60AEE36E" w:rsidR="000B137D" w:rsidRDefault="000B137D">
      <w:pPr>
        <w:pStyle w:val="ListParagraph"/>
        <w:numPr>
          <w:ilvl w:val="1"/>
          <w:numId w:val="23"/>
        </w:numPr>
      </w:pPr>
      <w:r>
        <w:lastRenderedPageBreak/>
        <w:t>The aggregated data for this question can be could in Attachment 6: DCP 443 RFI Analysis.</w:t>
      </w:r>
    </w:p>
    <w:p w14:paraId="45DE209D" w14:textId="32F9FBFB" w:rsidR="001F3E70" w:rsidRDefault="001F3E70">
      <w:pPr>
        <w:pStyle w:val="ListParagraph"/>
        <w:numPr>
          <w:ilvl w:val="1"/>
          <w:numId w:val="23"/>
        </w:numPr>
      </w:pPr>
      <w:r>
        <w:t>A summery of the data can be found below,</w:t>
      </w:r>
    </w:p>
    <w:p w14:paraId="45AF5E9B" w14:textId="73CD472F" w:rsidR="001F3E70" w:rsidRDefault="001F3E70" w:rsidP="001F3E70">
      <w:pPr>
        <w:spacing w:after="0"/>
      </w:pPr>
      <w:r w:rsidRPr="00782694">
        <w:t xml:space="preserve">The data (as per </w:t>
      </w:r>
      <w:r>
        <w:t>Attachment 6</w:t>
      </w:r>
      <w:r w:rsidRPr="00782694">
        <w:t>) shows that</w:t>
      </w:r>
      <w:r>
        <w:t>,</w:t>
      </w:r>
    </w:p>
    <w:p w14:paraId="5A1B3BAF" w14:textId="77777777" w:rsidR="001F3E70" w:rsidRPr="00782694" w:rsidRDefault="001F3E70" w:rsidP="001F3E70">
      <w:pPr>
        <w:spacing w:after="0"/>
      </w:pPr>
    </w:p>
    <w:p w14:paraId="225AC3E1" w14:textId="77777777" w:rsidR="001F3E70" w:rsidRPr="00782694" w:rsidRDefault="001F3E70">
      <w:pPr>
        <w:pStyle w:val="ListParagraph"/>
        <w:numPr>
          <w:ilvl w:val="0"/>
          <w:numId w:val="25"/>
        </w:numPr>
        <w:spacing w:before="0" w:after="160" w:line="278" w:lineRule="auto"/>
        <w:contextualSpacing/>
      </w:pPr>
      <w:r w:rsidRPr="00782694">
        <w:t>in the last eleven years, the number customers exceeding their capacity, as a share of all customers on tariffs with capacity charges, has been on a downward trend for all four relevant voltage levels (LV HH, LV sub HH, HV HH and EHV).</w:t>
      </w:r>
    </w:p>
    <w:p w14:paraId="0F19503B" w14:textId="77777777" w:rsidR="001F3E70" w:rsidRPr="00782694" w:rsidRDefault="001F3E70">
      <w:pPr>
        <w:pStyle w:val="ListParagraph"/>
        <w:numPr>
          <w:ilvl w:val="0"/>
          <w:numId w:val="25"/>
        </w:numPr>
        <w:spacing w:before="0" w:after="160" w:line="278" w:lineRule="auto"/>
        <w:contextualSpacing/>
      </w:pPr>
      <w:r w:rsidRPr="00782694">
        <w:t>within each voltage level group, the EHV group has the largest share of customers exceeding their capacity (by customer numbers), most recently at just over a fifth. The other three groups show significantly lower shares of exceedance, all at around 7.5% most recently.</w:t>
      </w:r>
    </w:p>
    <w:p w14:paraId="59279178" w14:textId="77777777" w:rsidR="001F3E70" w:rsidRPr="00782694" w:rsidRDefault="001F3E70">
      <w:pPr>
        <w:pStyle w:val="ListParagraph"/>
        <w:numPr>
          <w:ilvl w:val="0"/>
          <w:numId w:val="25"/>
        </w:numPr>
        <w:spacing w:before="0" w:after="160" w:line="278" w:lineRule="auto"/>
        <w:contextualSpacing/>
      </w:pPr>
      <w:r w:rsidRPr="00782694">
        <w:rPr>
          <w:noProof/>
        </w:rPr>
        <mc:AlternateContent>
          <mc:Choice Requires="wps">
            <w:drawing>
              <wp:anchor distT="0" distB="0" distL="114300" distR="114300" simplePos="0" relativeHeight="251659264" behindDoc="0" locked="0" layoutInCell="1" allowOverlap="1" wp14:anchorId="3F738594" wp14:editId="4DD84C51">
                <wp:simplePos x="0" y="0"/>
                <wp:positionH relativeFrom="column">
                  <wp:posOffset>2971165</wp:posOffset>
                </wp:positionH>
                <wp:positionV relativeFrom="paragraph">
                  <wp:posOffset>2755900</wp:posOffset>
                </wp:positionV>
                <wp:extent cx="1038225" cy="638175"/>
                <wp:effectExtent l="0" t="19050" r="28575" b="28575"/>
                <wp:wrapNone/>
                <wp:docPr id="1080814473" name="Callout: Up Arrow 1"/>
                <wp:cNvGraphicFramePr/>
                <a:graphic xmlns:a="http://schemas.openxmlformats.org/drawingml/2006/main">
                  <a:graphicData uri="http://schemas.microsoft.com/office/word/2010/wordprocessingShape">
                    <wps:wsp>
                      <wps:cNvSpPr/>
                      <wps:spPr>
                        <a:xfrm>
                          <a:off x="0" y="0"/>
                          <a:ext cx="1038225" cy="638175"/>
                        </a:xfrm>
                        <a:prstGeom prst="upArrowCallou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738594"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Callout: Up Arrow 1" o:spid="_x0000_s1026" type="#_x0000_t79" style="position:absolute;left:0;text-align:left;margin-left:233.95pt;margin-top:217pt;width:81.7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" adj="7565,7481,5400,9140" fillcolor="#5b9bd5 [3208]" strokecolor="#091723 [488]" strokeweight="1pt">
                <v:textbo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v:textbox>
              </v:shape>
            </w:pict>
          </mc:Fallback>
        </mc:AlternateContent>
      </w:r>
      <w:r w:rsidRPr="00782694">
        <w:t xml:space="preserve">the total proportion for all voltage levels peaked most recently in 2017/18, followed by drops until 2020/21, and broadly flatlining since. </w:t>
      </w:r>
      <w:r w:rsidRPr="00782694">
        <w:br/>
      </w:r>
      <w:r w:rsidRPr="00782694">
        <w:rPr>
          <w:noProof/>
        </w:rPr>
        <w:drawing>
          <wp:inline distT="0" distB="0" distL="0" distR="0" wp14:anchorId="7DF49930" wp14:editId="2BA5B782">
            <wp:extent cx="5715000" cy="4486274"/>
            <wp:effectExtent l="0" t="0" r="0" b="10160"/>
            <wp:docPr id="130178616" name="Chart 1">
              <a:extLst xmlns:a="http://schemas.openxmlformats.org/drawingml/2006/main">
                <a:ext uri="{FF2B5EF4-FFF2-40B4-BE49-F238E27FC236}">
                  <a16:creationId xmlns:a16="http://schemas.microsoft.com/office/drawing/2014/main" id="{AE985A11-4727-0747-3D96-3D80C76D5A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E047E9C" w14:textId="77777777" w:rsidR="001F3E70" w:rsidRPr="00782694" w:rsidRDefault="001F3E70">
      <w:pPr>
        <w:pStyle w:val="ListParagraph"/>
        <w:numPr>
          <w:ilvl w:val="0"/>
          <w:numId w:val="25"/>
        </w:numPr>
        <w:spacing w:before="0" w:after="160" w:line="278" w:lineRule="auto"/>
        <w:contextualSpacing/>
      </w:pPr>
      <w:r w:rsidRPr="00782694">
        <w:t>This decrease is as one might expect, given that up until 2017/18, the CDCM capacity charges and the excess capacity charges were equal (i.e. no signal discouraging exceedance), with a differential (i.e. a signal discouraging exceedance) coming into effect from 2018/19.</w:t>
      </w:r>
    </w:p>
    <w:p w14:paraId="6D7A1497" w14:textId="265873EE" w:rsidR="001F3E70" w:rsidRPr="00782694" w:rsidRDefault="001F3E70">
      <w:pPr>
        <w:pStyle w:val="ListParagraph"/>
        <w:numPr>
          <w:ilvl w:val="0"/>
          <w:numId w:val="25"/>
        </w:numPr>
        <w:spacing w:before="0" w:after="160" w:line="278" w:lineRule="auto"/>
        <w:contextualSpacing/>
      </w:pPr>
      <w:r w:rsidRPr="00782694">
        <w:t>At the individual voltage levels, the drop in exceedance proportions between 2017/18 and 2023/24 was: for LV HH – 3.9%, LV Sub HH – 6.5%, HV HH – 3.7%, and EHV – 6.0%. Whilst these d</w:t>
      </w:r>
      <w:r>
        <w:t>ecreases</w:t>
      </w:r>
      <w:r w:rsidRPr="00782694">
        <w:t xml:space="preserve"> are not large, they are consistent as well as enduring across all voltage levels.</w:t>
      </w:r>
    </w:p>
    <w:p w14:paraId="51AAFC7C" w14:textId="1C419C78" w:rsidR="001F3E70" w:rsidRDefault="001F3E70">
      <w:pPr>
        <w:pStyle w:val="ListParagraph"/>
        <w:numPr>
          <w:ilvl w:val="0"/>
          <w:numId w:val="25"/>
        </w:numPr>
        <w:spacing w:before="0" w:after="160" w:line="278" w:lineRule="auto"/>
        <w:contextualSpacing/>
      </w:pPr>
      <w:r w:rsidRPr="00782694">
        <w:lastRenderedPageBreak/>
        <w:t>As of 2025/26, the CDCM capacity charges and excess capacity charges will once more be equal, as a result of measures taken by the DNOs following Ofgem’s Access SCR which made distribution connection charges shallower. One might expect this to result in an increase in the share of customers exceeding their capacity, which this proposal is seeking to mitigate for.</w:t>
      </w:r>
    </w:p>
    <w:tbl>
      <w:tblPr>
        <w:tblStyle w:val="TableList2"/>
        <w:tblW w:w="0" w:type="auto"/>
        <w:tblLook w:val="04A0" w:firstRow="1" w:lastRow="0" w:firstColumn="1" w:lastColumn="0" w:noHBand="0" w:noVBand="1"/>
      </w:tblPr>
      <w:tblGrid>
        <w:gridCol w:w="9026"/>
      </w:tblGrid>
      <w:tr w:rsidR="007431B7" w:rsidRPr="00B50322" w14:paraId="74C20842"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6E6D5E28" w14:textId="54D89312" w:rsidR="007431B7" w:rsidRPr="00546013" w:rsidRDefault="007431B7" w:rsidP="00C90B56">
            <w:pPr>
              <w:jc w:val="both"/>
              <w:rPr>
                <w:b w:val="0"/>
                <w:bCs w:val="0"/>
              </w:rPr>
            </w:pPr>
            <w:r w:rsidRPr="007431B7">
              <w:t>Question 4 – Do you have any other comments?</w:t>
            </w:r>
          </w:p>
        </w:tc>
      </w:tr>
    </w:tbl>
    <w:p w14:paraId="0A39CA0F" w14:textId="77777777" w:rsidR="007431B7" w:rsidRDefault="007431B7" w:rsidP="007431B7"/>
    <w:p w14:paraId="71C42540" w14:textId="2BABA54B" w:rsidR="007431B7" w:rsidRDefault="007431B7">
      <w:pPr>
        <w:pStyle w:val="ListParagraph"/>
        <w:numPr>
          <w:ilvl w:val="1"/>
          <w:numId w:val="23"/>
        </w:numPr>
      </w:pPr>
      <w:r w:rsidRPr="007431B7">
        <w:t xml:space="preserve">One response stated that the process currently can mean that billing adjustments can cause one month to be shown in excess capacity where in reality the MPAN has not exceeded within that month. It was suggested that this scenario should be considered when looking at charging a </w:t>
      </w:r>
      <w:r w:rsidR="000C257F" w:rsidRPr="007431B7">
        <w:t>customer</w:t>
      </w:r>
      <w:r w:rsidRPr="007431B7">
        <w:t xml:space="preserve"> as they should not be penalised if they have not actually exceeded. </w:t>
      </w:r>
    </w:p>
    <w:p w14:paraId="2999F9F9" w14:textId="1EAE60C5" w:rsidR="007431B7" w:rsidRDefault="007431B7">
      <w:pPr>
        <w:pStyle w:val="ListParagraph"/>
        <w:numPr>
          <w:ilvl w:val="1"/>
          <w:numId w:val="23"/>
        </w:numPr>
      </w:pPr>
      <w:r>
        <w:t xml:space="preserve">It was </w:t>
      </w:r>
      <w:r w:rsidRPr="007431B7">
        <w:t xml:space="preserve">explained that if a </w:t>
      </w:r>
      <w:r w:rsidR="000C257F" w:rsidRPr="007431B7">
        <w:t>customer</w:t>
      </w:r>
      <w:r w:rsidRPr="007431B7">
        <w:t xml:space="preserve"> exceeds and then is charged excess, but then a revised consumption figure adjustment means that they did not exceed, then any excess charges would need reversing. </w:t>
      </w:r>
    </w:p>
    <w:p w14:paraId="06E8F61A" w14:textId="77777777" w:rsidR="007431B7" w:rsidRDefault="007431B7">
      <w:pPr>
        <w:pStyle w:val="ListParagraph"/>
        <w:numPr>
          <w:ilvl w:val="1"/>
          <w:numId w:val="23"/>
        </w:numPr>
      </w:pPr>
      <w:r w:rsidRPr="007431B7">
        <w:t xml:space="preserve">One response mentioned that this change introduces an element of risk into cost recovery of distribution charges for fixed price contract Customers as it will not be possible to predict the level of higher excess capacity charges that will be incurred. </w:t>
      </w:r>
    </w:p>
    <w:p w14:paraId="66146E69" w14:textId="13177B7C" w:rsidR="007431B7" w:rsidRDefault="007431B7">
      <w:pPr>
        <w:pStyle w:val="ListParagraph"/>
        <w:numPr>
          <w:ilvl w:val="1"/>
          <w:numId w:val="23"/>
        </w:numPr>
      </w:pPr>
      <w:r w:rsidRPr="007431B7">
        <w:t>The Working Group noted that the risk mentioned has been present for many years and is not new to this change potentially being introduced.</w:t>
      </w:r>
    </w:p>
    <w:p w14:paraId="4F744FB3" w14:textId="28107703" w:rsidR="00BB618A" w:rsidRDefault="00BB618A" w:rsidP="005F39A1">
      <w:pPr>
        <w:pStyle w:val="Heading02"/>
        <w:numPr>
          <w:ilvl w:val="0"/>
          <w:numId w:val="23"/>
        </w:numPr>
      </w:pPr>
      <w:r w:rsidRPr="00644F45">
        <w:t xml:space="preserve">Working Group Consultation </w:t>
      </w:r>
      <w:r>
        <w:t>and RFI conclusions</w:t>
      </w:r>
    </w:p>
    <w:p w14:paraId="7EE4ACD4" w14:textId="02F08D13" w:rsidR="005F39A1" w:rsidRPr="005F39A1" w:rsidRDefault="00D05501" w:rsidP="005F39A1">
      <w:pPr>
        <w:pStyle w:val="ListParagraph"/>
        <w:numPr>
          <w:ilvl w:val="1"/>
          <w:numId w:val="23"/>
        </w:numPr>
        <w:rPr>
          <w:b/>
          <w:bCs/>
        </w:rPr>
      </w:pPr>
      <w:r w:rsidRPr="00271F0A">
        <w:t xml:space="preserve">The </w:t>
      </w:r>
      <w:r w:rsidRPr="00D05501">
        <w:t xml:space="preserve">Working Group </w:t>
      </w:r>
      <w:r w:rsidR="005F39A1">
        <w:t>were unsure on which of the 3 solutions outlined in paragraphs 1.4-1.6 should be progressed to voting and as such, would like to seek further views from industry parties on all 3 solutions.</w:t>
      </w:r>
    </w:p>
    <w:p w14:paraId="2823B6A0" w14:textId="3B9236D6" w:rsidR="005F39A1" w:rsidRPr="005F39A1" w:rsidRDefault="00271F0A" w:rsidP="005F39A1">
      <w:pPr>
        <w:pStyle w:val="ListParagraph"/>
        <w:numPr>
          <w:ilvl w:val="1"/>
          <w:numId w:val="23"/>
        </w:numPr>
      </w:pPr>
      <w:r>
        <w:t>Based</w:t>
      </w:r>
      <w:r w:rsidR="005F39A1">
        <w:t xml:space="preserve"> on the consultation and RFI responses, the </w:t>
      </w:r>
      <w:r w:rsidR="005F39A1" w:rsidRPr="005F39A1">
        <w:t>Working Group saw the trade-off as largely being:</w:t>
      </w:r>
    </w:p>
    <w:p w14:paraId="7D21D02B" w14:textId="0938D8C2" w:rsidR="005F39A1" w:rsidRPr="005F39A1" w:rsidRDefault="005F39A1" w:rsidP="005F39A1">
      <w:pPr>
        <w:pStyle w:val="ListParagraph"/>
        <w:ind w:left="390"/>
      </w:pPr>
      <w:r w:rsidRPr="005F39A1">
        <w:rPr>
          <w:b/>
          <w:bCs/>
        </w:rPr>
        <w:t>Option 1</w:t>
      </w:r>
      <w:r w:rsidRPr="005F39A1">
        <w:t xml:space="preserve"> = strongest behavioural incentive, but </w:t>
      </w:r>
      <w:r w:rsidR="00BF3814">
        <w:t>high</w:t>
      </w:r>
      <w:r w:rsidRPr="005F39A1">
        <w:t xml:space="preserve"> complexity and systems impact.</w:t>
      </w:r>
    </w:p>
    <w:p w14:paraId="153C083C" w14:textId="77777777" w:rsidR="005F39A1" w:rsidRPr="005F39A1" w:rsidRDefault="005F39A1" w:rsidP="005F39A1">
      <w:pPr>
        <w:pStyle w:val="ListParagraph"/>
        <w:ind w:left="390"/>
      </w:pPr>
      <w:r w:rsidRPr="005F39A1">
        <w:rPr>
          <w:b/>
          <w:bCs/>
        </w:rPr>
        <w:t>Option 2</w:t>
      </w:r>
      <w:r w:rsidRPr="005F39A1">
        <w:t xml:space="preserve"> = simplest and easiest to implement, but weakest justification from a cost-reflectivity perspective.</w:t>
      </w:r>
    </w:p>
    <w:p w14:paraId="3B149261" w14:textId="77777777" w:rsidR="005F39A1" w:rsidRPr="005F39A1" w:rsidRDefault="005F39A1" w:rsidP="005F39A1">
      <w:pPr>
        <w:pStyle w:val="ListParagraph"/>
        <w:ind w:left="390"/>
      </w:pPr>
      <w:r w:rsidRPr="005F39A1">
        <w:rPr>
          <w:b/>
          <w:bCs/>
        </w:rPr>
        <w:t>Option 3</w:t>
      </w:r>
      <w:r w:rsidRPr="005F39A1">
        <w:t xml:space="preserve"> = most theoretically robust and cost-reflective, but the most complicated to develop and implement.</w:t>
      </w:r>
    </w:p>
    <w:p w14:paraId="28EAB94E" w14:textId="1C9D9C24" w:rsidR="005F39A1" w:rsidRDefault="00271F0A" w:rsidP="005F39A1">
      <w:pPr>
        <w:pStyle w:val="ListParagraph"/>
        <w:numPr>
          <w:ilvl w:val="1"/>
          <w:numId w:val="23"/>
        </w:numPr>
      </w:pPr>
      <w:r w:rsidRPr="00271F0A">
        <w:t>This table summarises the key advantages and disadvantages of the three solutions discussed for DCP 443, focused on incentivising customers not to exceed their MIC.</w:t>
      </w:r>
      <w:r w:rsidR="005F39A1" w:rsidRPr="00271F0A">
        <w:t>."</w:t>
      </w:r>
    </w:p>
    <w:p w14:paraId="0C7E6B3E" w14:textId="77777777" w:rsidR="00BF3814" w:rsidRDefault="00BF3814" w:rsidP="00BF3814">
      <w:pPr>
        <w:pStyle w:val="ListParagraph"/>
        <w:ind w:left="390"/>
      </w:pPr>
    </w:p>
    <w:p w14:paraId="30FEC3A7" w14:textId="77777777" w:rsidR="00BF3814" w:rsidRDefault="00BF3814" w:rsidP="00BF3814">
      <w:pPr>
        <w:pStyle w:val="ListParagraph"/>
        <w:ind w:left="390"/>
      </w:pPr>
    </w:p>
    <w:p w14:paraId="215D50B2" w14:textId="77777777" w:rsidR="00BF3814" w:rsidRDefault="00BF3814" w:rsidP="00BF3814">
      <w:pPr>
        <w:pStyle w:val="ListParagraph"/>
        <w:ind w:left="390"/>
      </w:pPr>
    </w:p>
    <w:p w14:paraId="18A3135B" w14:textId="77777777" w:rsidR="00BF3814" w:rsidRPr="00271F0A" w:rsidRDefault="00BF3814" w:rsidP="00BF3814">
      <w:pPr>
        <w:pStyle w:val="ListParagraph"/>
        <w:ind w:left="390"/>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3067"/>
        <w:gridCol w:w="3101"/>
      </w:tblGrid>
      <w:tr w:rsidR="00271F0A" w:rsidRPr="00271F0A" w14:paraId="7E606D49" w14:textId="77777777">
        <w:trPr>
          <w:trHeight w:val="300"/>
        </w:trPr>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1658001F" w14:textId="77777777" w:rsidR="00271F0A" w:rsidRPr="00271F0A" w:rsidRDefault="00271F0A" w:rsidP="00271F0A">
            <w:pPr>
              <w:pStyle w:val="ListParagraph"/>
              <w:ind w:left="390"/>
            </w:pPr>
            <w:r w:rsidRPr="00271F0A">
              <w:rPr>
                <w:b/>
                <w:bCs/>
                <w:lang w:val="en-US"/>
              </w:rPr>
              <w:lastRenderedPageBreak/>
              <w:t>Solution</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49096301" w14:textId="77777777" w:rsidR="00271F0A" w:rsidRPr="00271F0A" w:rsidRDefault="00271F0A" w:rsidP="00271F0A">
            <w:pPr>
              <w:pStyle w:val="ListParagraph"/>
              <w:ind w:left="390"/>
            </w:pPr>
            <w:r w:rsidRPr="00271F0A">
              <w:rPr>
                <w:b/>
                <w:bCs/>
                <w:lang w:val="en-US"/>
              </w:rPr>
              <w:t>Pros</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0827EA9E" w14:textId="77777777" w:rsidR="00271F0A" w:rsidRPr="00271F0A" w:rsidRDefault="00271F0A" w:rsidP="00271F0A">
            <w:pPr>
              <w:pStyle w:val="ListParagraph"/>
              <w:ind w:left="390"/>
            </w:pPr>
            <w:r w:rsidRPr="00271F0A">
              <w:rPr>
                <w:b/>
                <w:bCs/>
                <w:lang w:val="en-US"/>
              </w:rPr>
              <w:t>Cons</w:t>
            </w:r>
            <w:r w:rsidRPr="00271F0A">
              <w:t> </w:t>
            </w:r>
          </w:p>
        </w:tc>
      </w:tr>
      <w:tr w:rsidR="00271F0A" w:rsidRPr="00271F0A" w14:paraId="7F91435D"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544D8B12" w14:textId="77777777" w:rsidR="00271F0A" w:rsidRPr="00271F0A" w:rsidRDefault="00271F0A" w:rsidP="00271F0A">
            <w:pPr>
              <w:pStyle w:val="ListParagraph"/>
              <w:ind w:left="390"/>
            </w:pPr>
            <w:r w:rsidRPr="00271F0A">
              <w:t> </w:t>
            </w:r>
          </w:p>
          <w:p w14:paraId="3DDD0DA0" w14:textId="77777777" w:rsidR="00271F0A" w:rsidRPr="00271F0A" w:rsidRDefault="00271F0A" w:rsidP="00271F0A">
            <w:pPr>
              <w:pStyle w:val="ListParagraph"/>
              <w:ind w:left="390"/>
            </w:pPr>
            <w:r w:rsidRPr="00271F0A">
              <w:rPr>
                <w:b/>
                <w:bCs/>
                <w:lang w:val="en-US"/>
              </w:rPr>
              <w:t>Option 1 – 12-Month Maximum Demand (MD)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64609607" w14:textId="77777777" w:rsidR="00271F0A" w:rsidRPr="00271F0A" w:rsidRDefault="00271F0A" w:rsidP="00271F0A">
            <w:pPr>
              <w:pStyle w:val="ListParagraph"/>
              <w:ind w:left="390"/>
            </w:pPr>
            <w:r w:rsidRPr="00271F0A">
              <w:t> </w:t>
            </w:r>
          </w:p>
          <w:p w14:paraId="686881C0" w14:textId="77777777" w:rsidR="00271F0A" w:rsidRPr="00271F0A" w:rsidRDefault="00271F0A" w:rsidP="00271F0A">
            <w:pPr>
              <w:pStyle w:val="ListParagraph"/>
              <w:ind w:left="390"/>
            </w:pPr>
            <w:r w:rsidRPr="00271F0A">
              <w:rPr>
                <w:lang w:val="en-US"/>
              </w:rPr>
              <w:t>• Creates a strong and enduring incentive for customers to remain within their MIC.</w:t>
            </w:r>
            <w:r w:rsidRPr="00271F0A">
              <w:t> </w:t>
            </w:r>
          </w:p>
          <w:p w14:paraId="0C46A295" w14:textId="77777777" w:rsidR="00271F0A" w:rsidRPr="00271F0A" w:rsidRDefault="00271F0A" w:rsidP="00271F0A">
            <w:pPr>
              <w:pStyle w:val="ListParagraph"/>
              <w:ind w:left="390"/>
            </w:pPr>
            <w:r w:rsidRPr="00271F0A">
              <w:rPr>
                <w:lang w:val="en-US"/>
              </w:rPr>
              <w:t>• Better reflects the impact of exceeding capacity by applying charges over a longer period.</w:t>
            </w:r>
            <w:r w:rsidRPr="00271F0A">
              <w:t> </w:t>
            </w:r>
          </w:p>
          <w:p w14:paraId="0CD7DCF6" w14:textId="77777777" w:rsidR="00271F0A" w:rsidRPr="00271F0A" w:rsidRDefault="00271F0A" w:rsidP="00271F0A">
            <w:pPr>
              <w:pStyle w:val="ListParagraph"/>
              <w:ind w:left="390"/>
            </w:pPr>
            <w:r w:rsidRPr="00271F0A">
              <w:rPr>
                <w:lang w:val="en-US"/>
              </w:rPr>
              <w:t>• Has historical precedent, as similar approaches were used by some DNOs before the CDCM.</w:t>
            </w:r>
            <w:r w:rsidRPr="00271F0A">
              <w:t> </w:t>
            </w:r>
          </w:p>
          <w:p w14:paraId="504490FF" w14:textId="77777777" w:rsidR="00271F0A" w:rsidRPr="00271F0A" w:rsidRDefault="00271F0A" w:rsidP="00271F0A">
            <w:pPr>
              <w:pStyle w:val="ListParagraph"/>
              <w:ind w:left="390"/>
            </w:pPr>
            <w:r w:rsidRPr="00271F0A">
              <w:rPr>
                <w:lang w:val="en-US"/>
              </w:rPr>
              <w:t>• Likely to encourage customers to formally increase capacity where appropriate rather than rely on excess usage.</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17B7959" w14:textId="77777777" w:rsidR="00271F0A" w:rsidRPr="00271F0A" w:rsidRDefault="00271F0A" w:rsidP="00271F0A">
            <w:pPr>
              <w:pStyle w:val="ListParagraph"/>
              <w:ind w:left="390"/>
            </w:pPr>
            <w:r w:rsidRPr="00271F0A">
              <w:t> </w:t>
            </w:r>
          </w:p>
          <w:p w14:paraId="28EB4F0F" w14:textId="77777777" w:rsidR="00271F0A" w:rsidRPr="00271F0A" w:rsidRDefault="00271F0A" w:rsidP="00271F0A">
            <w:pPr>
              <w:pStyle w:val="ListParagraph"/>
              <w:ind w:left="390"/>
            </w:pPr>
            <w:r w:rsidRPr="00271F0A">
              <w:rPr>
                <w:lang w:val="en-US"/>
              </w:rPr>
              <w:t>• More complex for customers to understand than a single-period charge.</w:t>
            </w:r>
            <w:r w:rsidRPr="00271F0A">
              <w:t> </w:t>
            </w:r>
          </w:p>
          <w:p w14:paraId="6644B283" w14:textId="77777777" w:rsidR="00271F0A" w:rsidRPr="00271F0A" w:rsidRDefault="00271F0A" w:rsidP="00271F0A">
            <w:pPr>
              <w:pStyle w:val="ListParagraph"/>
              <w:ind w:left="390"/>
            </w:pPr>
            <w:r w:rsidRPr="00271F0A">
              <w:rPr>
                <w:lang w:val="en-US"/>
              </w:rPr>
              <w:t>• Requires billing systems to track the highest MD over a rolling 12-month period.</w:t>
            </w:r>
            <w:r w:rsidRPr="00271F0A">
              <w:t> </w:t>
            </w:r>
          </w:p>
          <w:p w14:paraId="7481310A" w14:textId="77777777" w:rsidR="00271F0A" w:rsidRPr="00271F0A" w:rsidRDefault="00271F0A" w:rsidP="00271F0A">
            <w:pPr>
              <w:pStyle w:val="ListParagraph"/>
              <w:ind w:left="390"/>
            </w:pPr>
            <w:r w:rsidRPr="00271F0A">
              <w:rPr>
                <w:lang w:val="en-US"/>
              </w:rPr>
              <w:t>• Raises questions around how to treat an increase or decrease in MIC after an exceedance.</w:t>
            </w:r>
            <w:r w:rsidRPr="00271F0A">
              <w:t> </w:t>
            </w:r>
          </w:p>
          <w:p w14:paraId="1B434A97" w14:textId="77777777" w:rsidR="00271F0A" w:rsidRPr="00271F0A" w:rsidRDefault="00271F0A" w:rsidP="00271F0A">
            <w:pPr>
              <w:pStyle w:val="ListParagraph"/>
              <w:ind w:left="390"/>
            </w:pPr>
            <w:r w:rsidRPr="00271F0A">
              <w:rPr>
                <w:lang w:val="en-US"/>
              </w:rPr>
              <w:t>• Could result in customers paying excess charges after the original exceedance event has passed.</w:t>
            </w:r>
            <w:r w:rsidRPr="00271F0A">
              <w:t> </w:t>
            </w:r>
          </w:p>
        </w:tc>
      </w:tr>
      <w:tr w:rsidR="00271F0A" w:rsidRPr="00271F0A" w14:paraId="27D028E1"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02D2560D" w14:textId="77777777" w:rsidR="00271F0A" w:rsidRPr="00271F0A" w:rsidRDefault="00271F0A" w:rsidP="00271F0A">
            <w:pPr>
              <w:pStyle w:val="ListParagraph"/>
              <w:ind w:left="390"/>
            </w:pPr>
            <w:r w:rsidRPr="00271F0A">
              <w:t> </w:t>
            </w:r>
          </w:p>
          <w:p w14:paraId="5A3BEF96" w14:textId="77777777" w:rsidR="00271F0A" w:rsidRPr="00271F0A" w:rsidRDefault="00271F0A" w:rsidP="00271F0A">
            <w:pPr>
              <w:pStyle w:val="ListParagraph"/>
              <w:ind w:left="390"/>
            </w:pPr>
            <w:r w:rsidRPr="00271F0A">
              <w:rPr>
                <w:b/>
                <w:bCs/>
                <w:lang w:val="en-US"/>
              </w:rPr>
              <w:t>Option 2 – Multiplier / Differential Tariff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4863368B" w14:textId="77777777" w:rsidR="00271F0A" w:rsidRPr="00271F0A" w:rsidRDefault="00271F0A" w:rsidP="00271F0A">
            <w:pPr>
              <w:pStyle w:val="ListParagraph"/>
              <w:ind w:left="390"/>
            </w:pPr>
            <w:r w:rsidRPr="00271F0A">
              <w:t> </w:t>
            </w:r>
          </w:p>
          <w:p w14:paraId="2130564E" w14:textId="77777777" w:rsidR="00271F0A" w:rsidRPr="00271F0A" w:rsidRDefault="00271F0A" w:rsidP="00271F0A">
            <w:pPr>
              <w:pStyle w:val="ListParagraph"/>
              <w:ind w:left="390"/>
            </w:pPr>
            <w:r w:rsidRPr="00271F0A">
              <w:rPr>
                <w:lang w:val="en-US"/>
              </w:rPr>
              <w:t>• Simple and easy for customers and suppliers to understand.</w:t>
            </w:r>
            <w:r w:rsidRPr="00271F0A">
              <w:t> </w:t>
            </w:r>
          </w:p>
          <w:p w14:paraId="566B9FB6" w14:textId="77777777" w:rsidR="00271F0A" w:rsidRPr="00271F0A" w:rsidRDefault="00271F0A" w:rsidP="00271F0A">
            <w:pPr>
              <w:pStyle w:val="ListParagraph"/>
              <w:ind w:left="390"/>
            </w:pPr>
            <w:r w:rsidRPr="00271F0A">
              <w:rPr>
                <w:lang w:val="en-US"/>
              </w:rPr>
              <w:t>• Likely to require minimal system changes because it changes the tariff value rather than the charging logic.</w:t>
            </w:r>
            <w:r w:rsidRPr="00271F0A">
              <w:t> </w:t>
            </w:r>
          </w:p>
          <w:p w14:paraId="79DAFDDA" w14:textId="77777777" w:rsidR="00271F0A" w:rsidRPr="00271F0A" w:rsidRDefault="00271F0A" w:rsidP="00271F0A">
            <w:pPr>
              <w:pStyle w:val="ListParagraph"/>
              <w:ind w:left="390"/>
            </w:pPr>
            <w:r w:rsidRPr="00271F0A">
              <w:rPr>
                <w:lang w:val="en-US"/>
              </w:rPr>
              <w:t>• Provides an immediate financial signal for exceeding MIC.</w:t>
            </w:r>
            <w:r w:rsidRPr="00271F0A">
              <w:t> </w:t>
            </w:r>
          </w:p>
          <w:p w14:paraId="6149943F" w14:textId="77777777" w:rsidR="00271F0A" w:rsidRPr="00271F0A" w:rsidRDefault="00271F0A" w:rsidP="00271F0A">
            <w:pPr>
              <w:pStyle w:val="ListParagraph"/>
              <w:ind w:left="390"/>
            </w:pPr>
            <w:r w:rsidRPr="00271F0A">
              <w:rPr>
                <w:lang w:val="en-US"/>
              </w:rPr>
              <w:t>• Broadly recreates the historic differential between standard capacity and excess capacity charges.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5EC91F0F" w14:textId="77777777" w:rsidR="00271F0A" w:rsidRPr="00271F0A" w:rsidRDefault="00271F0A" w:rsidP="00271F0A">
            <w:pPr>
              <w:pStyle w:val="ListParagraph"/>
              <w:ind w:left="390"/>
            </w:pPr>
            <w:r w:rsidRPr="00271F0A">
              <w:t> </w:t>
            </w:r>
          </w:p>
          <w:p w14:paraId="64B96B0C" w14:textId="77777777" w:rsidR="00271F0A" w:rsidRPr="00271F0A" w:rsidRDefault="00271F0A" w:rsidP="00271F0A">
            <w:pPr>
              <w:pStyle w:val="ListParagraph"/>
              <w:ind w:left="390"/>
            </w:pPr>
            <w:r w:rsidRPr="00271F0A">
              <w:rPr>
                <w:lang w:val="en-US"/>
              </w:rPr>
              <w:t>• May be viewed as arbitrary unless a clear rationale is established for the chosen multiplier.</w:t>
            </w:r>
            <w:r w:rsidRPr="00271F0A">
              <w:t> </w:t>
            </w:r>
          </w:p>
          <w:p w14:paraId="384C9B14" w14:textId="77777777" w:rsidR="00271F0A" w:rsidRPr="00271F0A" w:rsidRDefault="00271F0A" w:rsidP="00271F0A">
            <w:pPr>
              <w:pStyle w:val="ListParagraph"/>
              <w:ind w:left="390"/>
            </w:pPr>
            <w:r w:rsidRPr="00271F0A">
              <w:rPr>
                <w:lang w:val="en-US"/>
              </w:rPr>
              <w:t>• Difficult to demonstrate that a simple multiplier is cost-reflective.</w:t>
            </w:r>
            <w:r w:rsidRPr="00271F0A">
              <w:t> </w:t>
            </w:r>
          </w:p>
          <w:p w14:paraId="6DE6216F" w14:textId="77777777" w:rsidR="00271F0A" w:rsidRPr="00271F0A" w:rsidRDefault="00271F0A" w:rsidP="00271F0A">
            <w:pPr>
              <w:pStyle w:val="ListParagraph"/>
              <w:ind w:left="390"/>
            </w:pPr>
            <w:r w:rsidRPr="00271F0A">
              <w:rPr>
                <w:lang w:val="en-US"/>
              </w:rPr>
              <w:t>• May not fully align with charging methodology principles.</w:t>
            </w:r>
            <w:r w:rsidRPr="00271F0A">
              <w:t> </w:t>
            </w:r>
          </w:p>
          <w:p w14:paraId="309D90FE" w14:textId="77777777" w:rsidR="00271F0A" w:rsidRPr="00271F0A" w:rsidRDefault="00271F0A" w:rsidP="00271F0A">
            <w:pPr>
              <w:pStyle w:val="ListParagraph"/>
              <w:ind w:left="390"/>
            </w:pPr>
            <w:r w:rsidRPr="00271F0A">
              <w:rPr>
                <w:lang w:val="en-US"/>
              </w:rPr>
              <w:t>• The charge may not always be proportionate to the scale or duration of the exceedance.</w:t>
            </w:r>
            <w:r w:rsidRPr="00271F0A">
              <w:t> </w:t>
            </w:r>
          </w:p>
        </w:tc>
      </w:tr>
      <w:tr w:rsidR="00271F0A" w:rsidRPr="00271F0A" w14:paraId="3EED2990"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7BD19F3" w14:textId="77777777" w:rsidR="00271F0A" w:rsidRPr="00271F0A" w:rsidRDefault="00271F0A" w:rsidP="00271F0A">
            <w:pPr>
              <w:pStyle w:val="ListParagraph"/>
              <w:ind w:left="390"/>
            </w:pPr>
            <w:r w:rsidRPr="00271F0A">
              <w:t> </w:t>
            </w:r>
          </w:p>
          <w:p w14:paraId="2C9973CB" w14:textId="77777777" w:rsidR="00271F0A" w:rsidRPr="00271F0A" w:rsidRDefault="00271F0A" w:rsidP="00271F0A">
            <w:pPr>
              <w:pStyle w:val="ListParagraph"/>
              <w:ind w:left="390"/>
            </w:pPr>
            <w:r w:rsidRPr="00271F0A">
              <w:rPr>
                <w:b/>
                <w:bCs/>
                <w:lang w:val="en-US"/>
              </w:rPr>
              <w:t>Option 3 – Model-Integrated Differential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15FBF79C" w14:textId="77777777" w:rsidR="00271F0A" w:rsidRPr="00271F0A" w:rsidRDefault="00271F0A" w:rsidP="00271F0A">
            <w:pPr>
              <w:pStyle w:val="ListParagraph"/>
              <w:ind w:left="390"/>
            </w:pPr>
            <w:r w:rsidRPr="00271F0A">
              <w:t> </w:t>
            </w:r>
          </w:p>
          <w:p w14:paraId="7E56CC5F" w14:textId="77777777" w:rsidR="00271F0A" w:rsidRPr="00271F0A" w:rsidRDefault="00271F0A" w:rsidP="00271F0A">
            <w:pPr>
              <w:pStyle w:val="ListParagraph"/>
              <w:ind w:left="390"/>
            </w:pPr>
            <w:r w:rsidRPr="00271F0A">
              <w:rPr>
                <w:lang w:val="en-US"/>
              </w:rPr>
              <w:t>• Most consistent with CDCM charging principles.</w:t>
            </w:r>
            <w:r w:rsidRPr="00271F0A">
              <w:t> </w:t>
            </w:r>
          </w:p>
          <w:p w14:paraId="62EB5B43" w14:textId="77777777" w:rsidR="00271F0A" w:rsidRPr="00271F0A" w:rsidRDefault="00271F0A" w:rsidP="00271F0A">
            <w:pPr>
              <w:pStyle w:val="ListParagraph"/>
              <w:ind w:left="390"/>
            </w:pPr>
            <w:r w:rsidRPr="00271F0A">
              <w:rPr>
                <w:lang w:val="en-US"/>
              </w:rPr>
              <w:t xml:space="preserve">• Has the strongest argument for being cost-reflective if the </w:t>
            </w:r>
            <w:r w:rsidRPr="00271F0A">
              <w:rPr>
                <w:lang w:val="en-US"/>
              </w:rPr>
              <w:lastRenderedPageBreak/>
              <w:t>differential is derived through the model.</w:t>
            </w:r>
            <w:r w:rsidRPr="00271F0A">
              <w:t> </w:t>
            </w:r>
          </w:p>
          <w:p w14:paraId="7A18F1D4" w14:textId="77777777" w:rsidR="00271F0A" w:rsidRPr="00271F0A" w:rsidRDefault="00271F0A" w:rsidP="00271F0A">
            <w:pPr>
              <w:pStyle w:val="ListParagraph"/>
              <w:ind w:left="390"/>
            </w:pPr>
            <w:r w:rsidRPr="00271F0A">
              <w:rPr>
                <w:lang w:val="en-US"/>
              </w:rPr>
              <w:t>• Creates a differential without relying on an arbitrary multiplier.</w:t>
            </w:r>
            <w:r w:rsidRPr="00271F0A">
              <w:t> </w:t>
            </w:r>
          </w:p>
          <w:p w14:paraId="2A023FB6" w14:textId="77777777" w:rsidR="00271F0A" w:rsidRPr="00271F0A" w:rsidRDefault="00271F0A" w:rsidP="00271F0A">
            <w:pPr>
              <w:pStyle w:val="ListParagraph"/>
              <w:ind w:left="390"/>
            </w:pPr>
            <w:r w:rsidRPr="00271F0A">
              <w:rPr>
                <w:lang w:val="en-US"/>
              </w:rPr>
              <w:t>• Better aligned with the underlying charging methodologies.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3352FFF6" w14:textId="77777777" w:rsidR="00271F0A" w:rsidRPr="00271F0A" w:rsidRDefault="00271F0A" w:rsidP="00271F0A">
            <w:pPr>
              <w:pStyle w:val="ListParagraph"/>
              <w:ind w:left="390"/>
            </w:pPr>
            <w:r w:rsidRPr="00271F0A">
              <w:lastRenderedPageBreak/>
              <w:t> </w:t>
            </w:r>
          </w:p>
          <w:p w14:paraId="123247DA" w14:textId="77777777" w:rsidR="00271F0A" w:rsidRPr="00271F0A" w:rsidRDefault="00271F0A" w:rsidP="00271F0A">
            <w:pPr>
              <w:pStyle w:val="ListParagraph"/>
              <w:ind w:left="390"/>
            </w:pPr>
            <w:r w:rsidRPr="00271F0A">
              <w:rPr>
                <w:lang w:val="en-US"/>
              </w:rPr>
              <w:t>• More complex to design, develop and explain.</w:t>
            </w:r>
            <w:r w:rsidRPr="00271F0A">
              <w:t> </w:t>
            </w:r>
          </w:p>
          <w:p w14:paraId="2DFB349D" w14:textId="77777777" w:rsidR="00271F0A" w:rsidRPr="00271F0A" w:rsidRDefault="00271F0A" w:rsidP="00271F0A">
            <w:pPr>
              <w:pStyle w:val="ListParagraph"/>
              <w:ind w:left="390"/>
            </w:pPr>
            <w:r w:rsidRPr="00271F0A">
              <w:rPr>
                <w:lang w:val="en-US"/>
              </w:rPr>
              <w:t xml:space="preserve">• Could require significant modelling and industry </w:t>
            </w:r>
            <w:r w:rsidRPr="00271F0A">
              <w:rPr>
                <w:lang w:val="en-US"/>
              </w:rPr>
              <w:lastRenderedPageBreak/>
              <w:t>analysis before implementation.</w:t>
            </w:r>
            <w:r w:rsidRPr="00271F0A">
              <w:t> </w:t>
            </w:r>
          </w:p>
          <w:p w14:paraId="191E2A47" w14:textId="77777777" w:rsidR="00271F0A" w:rsidRPr="00271F0A" w:rsidRDefault="00271F0A" w:rsidP="00271F0A">
            <w:pPr>
              <w:pStyle w:val="ListParagraph"/>
              <w:ind w:left="390"/>
            </w:pPr>
            <w:r w:rsidRPr="00271F0A">
              <w:rPr>
                <w:lang w:val="en-US"/>
              </w:rPr>
              <w:t>• Less transparent for customers than a simple multiplier.</w:t>
            </w:r>
            <w:r w:rsidRPr="00271F0A">
              <w:t> </w:t>
            </w:r>
          </w:p>
          <w:p w14:paraId="3548A4F5" w14:textId="77777777" w:rsidR="00271F0A" w:rsidRPr="00271F0A" w:rsidRDefault="00271F0A" w:rsidP="00271F0A">
            <w:pPr>
              <w:pStyle w:val="ListParagraph"/>
              <w:ind w:left="390"/>
            </w:pPr>
            <w:r w:rsidRPr="00271F0A">
              <w:rPr>
                <w:lang w:val="en-US"/>
              </w:rPr>
              <w:t>• Potentially longer implementation timescales and greater development effort.</w:t>
            </w:r>
            <w:r w:rsidRPr="00271F0A">
              <w:t> </w:t>
            </w:r>
          </w:p>
        </w:tc>
      </w:tr>
    </w:tbl>
    <w:p w14:paraId="5AE59979" w14:textId="77777777" w:rsidR="00271F0A" w:rsidRPr="005F39A1" w:rsidRDefault="00271F0A" w:rsidP="00271F0A">
      <w:pPr>
        <w:pStyle w:val="ListParagraph"/>
        <w:ind w:left="390"/>
      </w:pPr>
    </w:p>
    <w:p w14:paraId="40CFD209" w14:textId="64F05A2D" w:rsidR="00D05501" w:rsidRPr="00271F0A" w:rsidRDefault="00271F0A" w:rsidP="00271F0A">
      <w:pPr>
        <w:pStyle w:val="ListParagraph"/>
        <w:ind w:left="390"/>
        <w:rPr>
          <w:color w:val="FF0000"/>
        </w:rPr>
      </w:pPr>
      <w:r>
        <w:rPr>
          <w:color w:val="FF0000"/>
        </w:rPr>
        <w:t xml:space="preserve">Below are the initial questions we’d drafted as part of the consultation, suggest the WG reviews these questions to see if they are still fit for purpose </w:t>
      </w:r>
    </w:p>
    <w:p w14:paraId="6AD6B282" w14:textId="427BD836" w:rsidR="00BB618A" w:rsidRDefault="00BB618A">
      <w:pPr>
        <w:pStyle w:val="ListParagraph"/>
        <w:numPr>
          <w:ilvl w:val="1"/>
          <w:numId w:val="23"/>
        </w:numPr>
      </w:pPr>
      <w:r>
        <w:t xml:space="preserve">Option </w:t>
      </w:r>
      <w:r w:rsidR="005F39A1">
        <w:t>B</w:t>
      </w:r>
    </w:p>
    <w:p w14:paraId="39E5AF12" w14:textId="77777777" w:rsidR="00875A34" w:rsidRDefault="00875A34" w:rsidP="00875A34">
      <w:pPr>
        <w:pStyle w:val="ListParagraph"/>
        <w:ind w:left="390"/>
      </w:pPr>
      <w:r w:rsidRPr="00BB618A">
        <w:t xml:space="preserve">Can excess capacity charges be considered excluded or additional revenue? </w:t>
      </w:r>
    </w:p>
    <w:p w14:paraId="3B7A0C0C" w14:textId="77777777" w:rsidR="00875A34" w:rsidRDefault="00875A34" w:rsidP="00875A34">
      <w:pPr>
        <w:pStyle w:val="ListParagraph"/>
        <w:numPr>
          <w:ilvl w:val="0"/>
          <w:numId w:val="26"/>
        </w:numPr>
      </w:pPr>
      <w:r w:rsidRPr="00BB618A">
        <w:t xml:space="preserve">How could this revenue be ‘treated’’ in the Distributors revenue calculations? </w:t>
      </w:r>
    </w:p>
    <w:p w14:paraId="542CFF46" w14:textId="77777777" w:rsidR="00875A34" w:rsidRDefault="00875A34" w:rsidP="00875A34">
      <w:pPr>
        <w:pStyle w:val="ListParagraph"/>
        <w:numPr>
          <w:ilvl w:val="0"/>
          <w:numId w:val="26"/>
        </w:numPr>
      </w:pPr>
      <w:r w:rsidRPr="00BB618A">
        <w:t xml:space="preserve">Would you have concerns about capacity charges being considered as excluded or additional revenue? If so, what are these concerns? </w:t>
      </w:r>
    </w:p>
    <w:p w14:paraId="5D4A153E" w14:textId="77777777" w:rsidR="00875A34" w:rsidRDefault="00875A34" w:rsidP="00875A34">
      <w:pPr>
        <w:pStyle w:val="ListParagraph"/>
        <w:numPr>
          <w:ilvl w:val="0"/>
          <w:numId w:val="26"/>
        </w:numPr>
      </w:pPr>
      <w:r w:rsidRPr="00BB618A">
        <w:t xml:space="preserve">What are the potential benefits of treating excess capacity as excluded or additional revenue? </w:t>
      </w:r>
    </w:p>
    <w:p w14:paraId="7E1DCC2D" w14:textId="77777777" w:rsidR="00875A34" w:rsidRDefault="00875A34" w:rsidP="00875A34">
      <w:pPr>
        <w:pStyle w:val="ListParagraph"/>
        <w:numPr>
          <w:ilvl w:val="0"/>
          <w:numId w:val="26"/>
        </w:numPr>
      </w:pPr>
      <w:r w:rsidRPr="00BB618A">
        <w:t xml:space="preserve">What are the regulatory considerations that need to be made for this solution to be successfully implemented, i.e. licence condition amendments. </w:t>
      </w:r>
    </w:p>
    <w:p w14:paraId="582EE6B0" w14:textId="77777777" w:rsidR="00875A34" w:rsidRDefault="00875A34" w:rsidP="00875A34">
      <w:pPr>
        <w:pStyle w:val="ListParagraph"/>
        <w:numPr>
          <w:ilvl w:val="0"/>
          <w:numId w:val="26"/>
        </w:numPr>
      </w:pPr>
      <w:r w:rsidRPr="00BB618A">
        <w:t xml:space="preserve">What would the process and timelines look like if the solution to treat excess capacity as excluded or additional revenue was taken forwards?  </w:t>
      </w:r>
    </w:p>
    <w:p w14:paraId="1A54D005" w14:textId="77777777" w:rsidR="00875A34" w:rsidRDefault="00875A34" w:rsidP="00875A34">
      <w:pPr>
        <w:pStyle w:val="ListParagraph"/>
        <w:numPr>
          <w:ilvl w:val="0"/>
          <w:numId w:val="26"/>
        </w:numPr>
      </w:pPr>
      <w:r w:rsidRPr="00BB618A">
        <w:t xml:space="preserve">In order to send an effective price signal to drive optimal customer behaviour to reduce excess capacity, what do you believe the excess capacity charge should be, i.e. 50% greater than capacity charge, 100% greater than the capacity charge etc? </w:t>
      </w:r>
    </w:p>
    <w:p w14:paraId="42BD20BD" w14:textId="196903E8" w:rsidR="00875A34" w:rsidRDefault="00875A34" w:rsidP="00875A34">
      <w:pPr>
        <w:pStyle w:val="ListParagraph"/>
        <w:numPr>
          <w:ilvl w:val="0"/>
          <w:numId w:val="26"/>
        </w:numPr>
      </w:pPr>
      <w:r w:rsidRPr="00BB618A">
        <w:t xml:space="preserve">For </w:t>
      </w:r>
      <w:r w:rsidRPr="00BB618A">
        <w:t xml:space="preserve">option </w:t>
      </w:r>
      <w:r>
        <w:t>B</w:t>
      </w:r>
      <w:r w:rsidRPr="00BB618A">
        <w:t>, what do you believe the implementation date should be?</w:t>
      </w:r>
    </w:p>
    <w:p w14:paraId="4809C55F" w14:textId="77777777" w:rsidR="00875A34" w:rsidRDefault="00875A34" w:rsidP="00875A34">
      <w:pPr>
        <w:pStyle w:val="ListParagraph"/>
        <w:ind w:left="390"/>
      </w:pPr>
    </w:p>
    <w:p w14:paraId="17C29787" w14:textId="77777777" w:rsidR="005F39A1" w:rsidRDefault="005F39A1" w:rsidP="005F39A1">
      <w:pPr>
        <w:pStyle w:val="ListParagraph"/>
        <w:numPr>
          <w:ilvl w:val="1"/>
          <w:numId w:val="23"/>
        </w:numPr>
      </w:pPr>
      <w:r>
        <w:t>Option C</w:t>
      </w:r>
    </w:p>
    <w:p w14:paraId="315269D8" w14:textId="77777777" w:rsidR="00875A34" w:rsidRDefault="00875A34" w:rsidP="00875A34">
      <w:pPr>
        <w:pStyle w:val="ListParagraph"/>
        <w:numPr>
          <w:ilvl w:val="0"/>
          <w:numId w:val="27"/>
        </w:numPr>
      </w:pPr>
      <w:r w:rsidRPr="00BB618A">
        <w:t>For alternative solution</w:t>
      </w:r>
      <w:r>
        <w:t xml:space="preserve"> C</w:t>
      </w:r>
      <w:r w:rsidRPr="00BB618A">
        <w:t xml:space="preserve">, calculating the excess capacity charge within the model, do you have any concerns about taking this approach? </w:t>
      </w:r>
    </w:p>
    <w:p w14:paraId="41B34D80" w14:textId="77777777" w:rsidR="00875A34" w:rsidRDefault="00875A34" w:rsidP="00875A34">
      <w:pPr>
        <w:pStyle w:val="ListParagraph"/>
        <w:numPr>
          <w:ilvl w:val="0"/>
          <w:numId w:val="27"/>
        </w:numPr>
      </w:pPr>
      <w:r w:rsidRPr="00BB618A">
        <w:t xml:space="preserve">What are the potential benefits of calculating the excess capacity charge within the model. </w:t>
      </w:r>
    </w:p>
    <w:p w14:paraId="16B0ECA9" w14:textId="77777777" w:rsidR="00875A34" w:rsidRDefault="00875A34" w:rsidP="00875A34">
      <w:pPr>
        <w:pStyle w:val="ListParagraph"/>
        <w:numPr>
          <w:ilvl w:val="0"/>
          <w:numId w:val="27"/>
        </w:numPr>
      </w:pPr>
      <w:r w:rsidRPr="00BB618A">
        <w:t xml:space="preserve">Do you have any comments on how the model has been designed for this solution? Please share any comments. </w:t>
      </w:r>
    </w:p>
    <w:p w14:paraId="1C73DBF9" w14:textId="77777777" w:rsidR="00875A34" w:rsidRDefault="00875A34" w:rsidP="00875A34">
      <w:pPr>
        <w:pStyle w:val="ListParagraph"/>
        <w:numPr>
          <w:ilvl w:val="0"/>
          <w:numId w:val="27"/>
        </w:numPr>
      </w:pPr>
      <w:r w:rsidRPr="00BB618A">
        <w:t>Would this solution send a strong enough price signal to customers to drive more optimal behaviour and reduce exceedance?</w:t>
      </w:r>
    </w:p>
    <w:p w14:paraId="23CAAB5D" w14:textId="277DB573" w:rsidR="00875A34" w:rsidRDefault="00875A34" w:rsidP="00875A34">
      <w:pPr>
        <w:pStyle w:val="ListParagraph"/>
        <w:numPr>
          <w:ilvl w:val="0"/>
          <w:numId w:val="27"/>
        </w:numPr>
      </w:pPr>
      <w:r w:rsidRPr="00BB618A">
        <w:t xml:space="preserve">For option </w:t>
      </w:r>
      <w:r>
        <w:t>C</w:t>
      </w:r>
      <w:r w:rsidRPr="00BB618A">
        <w:t>, do you agree with the implementation date?</w:t>
      </w:r>
    </w:p>
    <w:p w14:paraId="4085BFEA" w14:textId="48E46BDF" w:rsidR="00BB618A" w:rsidRDefault="005F39A1">
      <w:pPr>
        <w:pStyle w:val="ListParagraph"/>
        <w:numPr>
          <w:ilvl w:val="1"/>
          <w:numId w:val="23"/>
        </w:numPr>
      </w:pPr>
      <w:r>
        <w:lastRenderedPageBreak/>
        <w:t>All options</w:t>
      </w:r>
      <w:r w:rsidR="00BB618A" w:rsidRPr="00BB618A">
        <w:t xml:space="preserve"> Questions</w:t>
      </w:r>
    </w:p>
    <w:p w14:paraId="324FF2E6" w14:textId="77777777" w:rsidR="00BB618A" w:rsidRDefault="00BB618A">
      <w:pPr>
        <w:pStyle w:val="ListParagraph"/>
        <w:numPr>
          <w:ilvl w:val="0"/>
          <w:numId w:val="28"/>
        </w:numPr>
      </w:pPr>
      <w:r w:rsidRPr="00BB618A">
        <w:t xml:space="preserve">Is there another approach that could be taken that applies a differential to the excess capacity charge other than what’s been suggested in this consultation?  </w:t>
      </w:r>
    </w:p>
    <w:p w14:paraId="3CFEEF52" w14:textId="24032FA0" w:rsidR="00BB618A" w:rsidRDefault="00BB618A">
      <w:pPr>
        <w:pStyle w:val="ListParagraph"/>
        <w:numPr>
          <w:ilvl w:val="0"/>
          <w:numId w:val="28"/>
        </w:numPr>
      </w:pPr>
      <w:r w:rsidRPr="00BB618A">
        <w:t xml:space="preserve">Are there any points you would like the working group to consider for </w:t>
      </w:r>
      <w:r w:rsidR="00875A34">
        <w:t>all</w:t>
      </w:r>
      <w:r w:rsidRPr="00BB618A">
        <w:t xml:space="preserve"> option</w:t>
      </w:r>
      <w:r w:rsidR="00875A34">
        <w:t>s</w:t>
      </w:r>
      <w:r w:rsidRPr="00BB618A">
        <w:t xml:space="preserve">? Please expand on these points. </w:t>
      </w:r>
    </w:p>
    <w:p w14:paraId="229B0C09" w14:textId="184227D6" w:rsidR="00BB618A" w:rsidRDefault="00BB618A">
      <w:pPr>
        <w:pStyle w:val="ListParagraph"/>
        <w:numPr>
          <w:ilvl w:val="0"/>
          <w:numId w:val="28"/>
        </w:numPr>
      </w:pPr>
      <w:r w:rsidRPr="00BB618A">
        <w:t>For each solution, where do you feel legal text changes are needed and please provide a summary of what any potential legal text changes would be for each solution.</w:t>
      </w:r>
    </w:p>
    <w:p w14:paraId="1F56CC12" w14:textId="40003A97" w:rsidR="00875A34" w:rsidRDefault="00875A34">
      <w:pPr>
        <w:pStyle w:val="ListParagraph"/>
        <w:numPr>
          <w:ilvl w:val="0"/>
          <w:numId w:val="28"/>
        </w:numPr>
      </w:pPr>
      <w:r>
        <w:t>Which of the 3 options do you prefer, please provide rationale.</w:t>
      </w:r>
    </w:p>
    <w:p w14:paraId="5A8155CD" w14:textId="13487BEF" w:rsidR="00C25A16" w:rsidRDefault="00C25A16" w:rsidP="00644F45">
      <w:pPr>
        <w:pStyle w:val="Heading2"/>
        <w:keepNext w:val="0"/>
        <w:numPr>
          <w:ilvl w:val="0"/>
          <w:numId w:val="0"/>
        </w:numPr>
        <w:ind w:left="576" w:hanging="576"/>
      </w:pPr>
    </w:p>
    <w:p w14:paraId="1527809F" w14:textId="77777777" w:rsidR="006D75CD" w:rsidRPr="00EB32BB" w:rsidRDefault="006D75CD" w:rsidP="00370BE5">
      <w:pPr>
        <w:pStyle w:val="Heading02"/>
        <w:rPr>
          <w:noProof/>
        </w:rPr>
      </w:pPr>
      <w:bookmarkStart w:id="34" w:name="_Toc318962138"/>
      <w:bookmarkStart w:id="35" w:name="_Toc453107802"/>
      <w:bookmarkStart w:id="36" w:name="_Toc177119171"/>
      <w:r w:rsidRPr="00EB32BB">
        <w:rPr>
          <w:noProof/>
        </w:rPr>
        <w:t xml:space="preserve">Impacts </w:t>
      </w:r>
      <w:r w:rsidR="00784486">
        <w:rPr>
          <w:noProof/>
        </w:rPr>
        <w:t>&amp; Other Considerations</w:t>
      </w:r>
      <w:bookmarkEnd w:id="34"/>
      <w:bookmarkEnd w:id="35"/>
      <w:bookmarkEnd w:id="36"/>
    </w:p>
    <w:p w14:paraId="5B3B4320" w14:textId="77777777" w:rsidR="00631EBB" w:rsidRPr="00EB32BB" w:rsidRDefault="00187969" w:rsidP="00370BE5">
      <w:pPr>
        <w:pStyle w:val="Heading4"/>
      </w:pPr>
      <w:r>
        <w:t>Does this Change Proposal</w:t>
      </w:r>
      <w:r w:rsidR="00631EBB" w:rsidRPr="00EB32BB">
        <w:t xml:space="preserve"> impact a Significant Code Review (SCR) or other significant industry change projects, if so, how?</w:t>
      </w:r>
    </w:p>
    <w:p w14:paraId="0B8B072F" w14:textId="7F587609" w:rsidR="00043976" w:rsidRPr="00067E74" w:rsidRDefault="0004598C" w:rsidP="00F73ACA">
      <w:pPr>
        <w:pStyle w:val="Heading2"/>
      </w:pPr>
      <w:r w:rsidRPr="00D21648">
        <w:t>This Change Proposal may impact upon the DUoS SCR but</w:t>
      </w:r>
      <w:r>
        <w:t xml:space="preserve"> should proceed as it is </w:t>
      </w:r>
      <w:r w:rsidRPr="00D21648">
        <w:t>a relatively simple change that can and should be dealt with now, rather than waiting for the outcome of the DUoS SCR</w:t>
      </w:r>
      <w:r>
        <w:t>, which may still be some way from being known.</w:t>
      </w:r>
    </w:p>
    <w:p w14:paraId="6F9F4068" w14:textId="77777777" w:rsidR="00BF4EEF" w:rsidRPr="00EB32BB" w:rsidRDefault="00BF4EEF" w:rsidP="00370BE5">
      <w:pPr>
        <w:pStyle w:val="Heading4"/>
      </w:pPr>
      <w:r>
        <w:t>Consumer Impacts</w:t>
      </w:r>
    </w:p>
    <w:p w14:paraId="4B76C7AC" w14:textId="0CBC04EE" w:rsidR="00832598" w:rsidRDefault="00062D1C" w:rsidP="00370BE5">
      <w:pPr>
        <w:pStyle w:val="Heading2"/>
        <w:keepNext w:val="0"/>
      </w:pPr>
      <w:r>
        <w:t>There are no consumer impacts other than those that have already been mentioned in this CP.</w:t>
      </w:r>
    </w:p>
    <w:p w14:paraId="328106C0" w14:textId="1AECCF04" w:rsidR="005926D5" w:rsidRDefault="005926D5" w:rsidP="005926D5">
      <w:pPr>
        <w:rPr>
          <w:rFonts w:cs="Arial"/>
          <w:b/>
          <w:bCs/>
          <w:color w:val="008576"/>
          <w:sz w:val="24"/>
          <w:szCs w:val="28"/>
        </w:rPr>
      </w:pPr>
      <w:r w:rsidRPr="005F084E">
        <w:rPr>
          <w:rFonts w:cs="Arial"/>
          <w:b/>
          <w:bCs/>
          <w:color w:val="008576"/>
          <w:sz w:val="24"/>
          <w:szCs w:val="28"/>
        </w:rPr>
        <w:t>Does this Change Proposal Impact Other Codes?</w:t>
      </w:r>
    </w:p>
    <w:p w14:paraId="6A07AFE2" w14:textId="4C2BFCFD" w:rsidR="005926D5" w:rsidRPr="005926D5" w:rsidRDefault="004E3C55" w:rsidP="005926D5">
      <w:pPr>
        <w:pStyle w:val="Heading2"/>
      </w:pPr>
      <w:r>
        <w:t>The Working Group felt it did not.</w:t>
      </w:r>
    </w:p>
    <w:p w14:paraId="26D6EEEC" w14:textId="77777777" w:rsidR="00B52063" w:rsidRPr="00EB32BB" w:rsidRDefault="00B52063" w:rsidP="00370BE5">
      <w:pPr>
        <w:pStyle w:val="Heading4"/>
      </w:pPr>
      <w:r>
        <w:t>Environmental Impacts</w:t>
      </w:r>
    </w:p>
    <w:p w14:paraId="10095AA4" w14:textId="4BC3D4C9"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7C788C14" w14:textId="77777777" w:rsidR="00F007A0" w:rsidRPr="00EB32BB" w:rsidRDefault="00F007A0" w:rsidP="00370BE5">
      <w:pPr>
        <w:pStyle w:val="Heading02"/>
      </w:pPr>
      <w:bookmarkStart w:id="37" w:name="_Toc156882583"/>
      <w:bookmarkStart w:id="38" w:name="_Toc163008071"/>
      <w:bookmarkStart w:id="39" w:name="_Toc318962141"/>
      <w:bookmarkStart w:id="40" w:name="_Toc453107804"/>
      <w:bookmarkStart w:id="41" w:name="_Toc177119173"/>
      <w:r w:rsidRPr="00EB32BB">
        <w:t>Legal Text</w:t>
      </w:r>
      <w:bookmarkEnd w:id="37"/>
      <w:bookmarkEnd w:id="38"/>
      <w:bookmarkEnd w:id="39"/>
      <w:bookmarkEnd w:id="40"/>
      <w:bookmarkEnd w:id="41"/>
    </w:p>
    <w:p w14:paraId="0D822A44" w14:textId="00E58B08" w:rsidR="00EC4958" w:rsidRDefault="000C257F" w:rsidP="000C257F">
      <w:pPr>
        <w:pStyle w:val="Heading2"/>
        <w:keepNext w:val="0"/>
      </w:pPr>
      <w:r>
        <w:t xml:space="preserve">Due to the Working Group not settling on a solution at this time, there is no legal text drafted for this CP. The Working Group believes that </w:t>
      </w:r>
      <w:r w:rsidR="00EC4958">
        <w:t>Schedule</w:t>
      </w:r>
      <w:r w:rsidR="00D60DDD">
        <w:t>s</w:t>
      </w:r>
      <w:r w:rsidR="00EC4958">
        <w:t xml:space="preserve"> 16</w:t>
      </w:r>
      <w:r w:rsidR="004710D6">
        <w:t>,</w:t>
      </w:r>
      <w:r w:rsidR="00D60DDD">
        <w:t xml:space="preserve"> 17 and 18 </w:t>
      </w:r>
      <w:r>
        <w:t>will require updates once the preferred approach/solution is known</w:t>
      </w:r>
      <w:r w:rsidR="00A15132">
        <w:t xml:space="preserve"> and it is noted that if option C is adopted, this would require a change to the CDCM models </w:t>
      </w:r>
    </w:p>
    <w:p w14:paraId="73512763" w14:textId="77777777" w:rsidR="00FB2CD3" w:rsidRPr="00EB32BB" w:rsidRDefault="00FB2CD3" w:rsidP="00FB2CD3">
      <w:pPr>
        <w:pStyle w:val="Heading4"/>
        <w:rPr>
          <w:i/>
          <w:iCs/>
        </w:rPr>
      </w:pPr>
      <w:r w:rsidRPr="00EB32BB">
        <w:t>Text Commentary</w:t>
      </w:r>
    </w:p>
    <w:p w14:paraId="03360CA7" w14:textId="7D5C3D4D" w:rsidR="008E1E47" w:rsidRPr="0068126E" w:rsidRDefault="00FB2CD3" w:rsidP="008E1E47">
      <w:pPr>
        <w:pStyle w:val="Heading2"/>
      </w:pPr>
      <w:r>
        <w:lastRenderedPageBreak/>
        <w:t xml:space="preserve">This reinforces that the excess capacity change is based on the highest MD in a </w:t>
      </w:r>
      <w:r w:rsidR="002C71BE">
        <w:t>12-month</w:t>
      </w:r>
      <w:r>
        <w:t xml:space="preserve"> period</w:t>
      </w:r>
    </w:p>
    <w:p w14:paraId="69526C5D" w14:textId="77777777" w:rsidR="00CC0C7A" w:rsidRPr="00EB32BB" w:rsidRDefault="00CC0C7A" w:rsidP="00370BE5">
      <w:pPr>
        <w:pStyle w:val="Heading02"/>
      </w:pPr>
      <w:bookmarkStart w:id="42" w:name="_Toc177119174"/>
      <w:r>
        <w:t>Consultation Questions</w:t>
      </w:r>
      <w:bookmarkEnd w:id="42"/>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5EC74309" w:rsidR="002A3F8F" w:rsidRPr="006347BD" w:rsidRDefault="002A3F8F" w:rsidP="00370BE5">
            <w:pPr>
              <w:rPr>
                <w:rFonts w:cs="Arial"/>
                <w:bCs/>
              </w:rPr>
            </w:pP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1D63877D" w:rsidR="002A3F8F" w:rsidRPr="006347BD" w:rsidRDefault="002A3F8F" w:rsidP="00370BE5">
            <w:pPr>
              <w:rPr>
                <w:rFonts w:cs="Arial"/>
                <w:bCs/>
              </w:rPr>
            </w:pP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0E518A60" w:rsidR="002A3F8F" w:rsidRPr="00B2172B" w:rsidRDefault="002A3F8F" w:rsidP="00B2172B">
            <w:pPr>
              <w:spacing w:before="0" w:after="160" w:line="259" w:lineRule="auto"/>
              <w:contextualSpacing/>
            </w:pPr>
          </w:p>
        </w:tc>
      </w:tr>
      <w:tr w:rsidR="006A1102"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69362EAF" w:rsidR="006A1102" w:rsidRPr="008715F6" w:rsidRDefault="006A1102" w:rsidP="00421E44"/>
        </w:tc>
      </w:tr>
      <w:tr w:rsidR="006A1102" w:rsidRPr="00027B6F" w14:paraId="029BB4EA"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2C1949"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31D2E4AE" w14:textId="5EA9D70C" w:rsidR="006A1102" w:rsidRPr="006347BD" w:rsidRDefault="006A1102" w:rsidP="006A1102">
            <w:pPr>
              <w:rPr>
                <w:rFonts w:cs="Arial"/>
                <w:bCs/>
              </w:rPr>
            </w:pPr>
          </w:p>
        </w:tc>
      </w:tr>
      <w:tr w:rsidR="00EB5194" w:rsidRPr="00027B6F" w14:paraId="14CF9E8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7BE22C6" w14:textId="77777777" w:rsidR="00EB5194" w:rsidRPr="006347BD" w:rsidRDefault="00EB5194">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448B835" w14:textId="34ABE1A5" w:rsidR="00EB5194" w:rsidRPr="00421E44" w:rsidRDefault="00EB5194" w:rsidP="006A1102"/>
        </w:tc>
      </w:tr>
      <w:tr w:rsidR="0052517D" w:rsidRPr="00027B6F" w14:paraId="65FD4B4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BC1F96A" w14:textId="77777777" w:rsidR="0052517D" w:rsidRPr="006347BD" w:rsidRDefault="0052517D">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5B8A5C21" w14:textId="40FC3B34" w:rsidR="0052517D" w:rsidRDefault="0052517D" w:rsidP="006A1102"/>
        </w:tc>
      </w:tr>
      <w:tr w:rsidR="0052517D" w:rsidRPr="00027B6F" w14:paraId="539B3B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031072E" w14:textId="4C22A08B" w:rsidR="0052517D" w:rsidRPr="0052517D" w:rsidRDefault="00EB5194" w:rsidP="0052517D">
            <w:pPr>
              <w:spacing w:line="360" w:lineRule="auto"/>
              <w:ind w:left="360"/>
              <w:rPr>
                <w:rFonts w:cs="Arial"/>
                <w:b/>
                <w:noProof/>
              </w:rPr>
            </w:pPr>
            <w:r>
              <w:rPr>
                <w:rFonts w:cs="Arial"/>
                <w:b/>
                <w:noProof/>
              </w:rPr>
              <w:t>8</w:t>
            </w:r>
          </w:p>
        </w:tc>
        <w:tc>
          <w:tcPr>
            <w:tcW w:w="4404" w:type="pct"/>
            <w:tcBorders>
              <w:top w:val="single" w:sz="6" w:space="0" w:color="000066"/>
              <w:left w:val="single" w:sz="6" w:space="0" w:color="000066"/>
              <w:bottom w:val="single" w:sz="6" w:space="0" w:color="000066"/>
              <w:right w:val="single" w:sz="6" w:space="0" w:color="000066"/>
            </w:tcBorders>
            <w:vAlign w:val="center"/>
          </w:tcPr>
          <w:p w14:paraId="53ED59CF" w14:textId="2777FF93" w:rsidR="0052517D" w:rsidRDefault="0052517D" w:rsidP="006A1102"/>
        </w:tc>
      </w:tr>
      <w:tr w:rsidR="00F11F9F" w:rsidRPr="00027B6F" w14:paraId="79B9D200"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9CA59C" w14:textId="6775CC9C" w:rsidR="00F11F9F" w:rsidRPr="0052517D" w:rsidRDefault="00EB5194" w:rsidP="0052517D">
            <w:pPr>
              <w:spacing w:line="360" w:lineRule="auto"/>
              <w:ind w:left="360"/>
              <w:rPr>
                <w:rFonts w:cs="Arial"/>
                <w:b/>
                <w:noProof/>
              </w:rPr>
            </w:pPr>
            <w:r>
              <w:rPr>
                <w:rFonts w:cs="Arial"/>
                <w:b/>
                <w:noProof/>
              </w:rPr>
              <w:t>9</w:t>
            </w:r>
          </w:p>
        </w:tc>
        <w:tc>
          <w:tcPr>
            <w:tcW w:w="4404" w:type="pct"/>
            <w:tcBorders>
              <w:top w:val="single" w:sz="6" w:space="0" w:color="000066"/>
              <w:left w:val="single" w:sz="6" w:space="0" w:color="000066"/>
              <w:bottom w:val="single" w:sz="6" w:space="0" w:color="000066"/>
              <w:right w:val="single" w:sz="6" w:space="0" w:color="000066"/>
            </w:tcBorders>
            <w:vAlign w:val="center"/>
          </w:tcPr>
          <w:p w14:paraId="328A2BA9" w14:textId="41948165" w:rsidR="00F11F9F" w:rsidRDefault="00F11F9F" w:rsidP="00661D6B"/>
        </w:tc>
      </w:tr>
      <w:tr w:rsidR="00F11F9F" w:rsidRPr="00027B6F" w14:paraId="5730888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1C81843" w14:textId="2D376DE4" w:rsidR="00F11F9F" w:rsidRPr="009E538A" w:rsidRDefault="00EB5194" w:rsidP="009E538A">
            <w:pPr>
              <w:spacing w:line="360" w:lineRule="auto"/>
              <w:ind w:left="360"/>
              <w:rPr>
                <w:rFonts w:cs="Arial"/>
                <w:b/>
                <w:noProof/>
              </w:rPr>
            </w:pPr>
            <w:r>
              <w:rPr>
                <w:rFonts w:cs="Arial"/>
                <w:b/>
                <w:noProof/>
              </w:rPr>
              <w:t>10</w:t>
            </w:r>
          </w:p>
        </w:tc>
        <w:tc>
          <w:tcPr>
            <w:tcW w:w="4404" w:type="pct"/>
            <w:tcBorders>
              <w:top w:val="single" w:sz="6" w:space="0" w:color="000066"/>
              <w:left w:val="single" w:sz="6" w:space="0" w:color="000066"/>
              <w:bottom w:val="single" w:sz="6" w:space="0" w:color="000066"/>
              <w:right w:val="single" w:sz="6" w:space="0" w:color="000066"/>
            </w:tcBorders>
            <w:vAlign w:val="center"/>
          </w:tcPr>
          <w:p w14:paraId="745760FC" w14:textId="7934D51B" w:rsidR="00860F0F" w:rsidRDefault="00860F0F" w:rsidP="00210AC1"/>
        </w:tc>
      </w:tr>
      <w:tr w:rsidR="00F11F9F" w:rsidRPr="00027B6F" w14:paraId="0733A02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0D01B39" w14:textId="427F88EA" w:rsidR="00F11F9F" w:rsidRPr="009E538A" w:rsidRDefault="00EB5194" w:rsidP="009E538A">
            <w:pPr>
              <w:spacing w:line="360" w:lineRule="auto"/>
              <w:ind w:left="360"/>
              <w:rPr>
                <w:rFonts w:cs="Arial"/>
                <w:b/>
                <w:noProof/>
              </w:rPr>
            </w:pPr>
            <w:bookmarkStart w:id="43" w:name="_Hlk177121810"/>
            <w:r>
              <w:rPr>
                <w:rFonts w:cs="Arial"/>
                <w:b/>
                <w:noProof/>
              </w:rPr>
              <w:t>11</w:t>
            </w:r>
          </w:p>
        </w:tc>
        <w:tc>
          <w:tcPr>
            <w:tcW w:w="4404" w:type="pct"/>
            <w:tcBorders>
              <w:top w:val="single" w:sz="6" w:space="0" w:color="000066"/>
              <w:left w:val="single" w:sz="6" w:space="0" w:color="000066"/>
              <w:bottom w:val="single" w:sz="6" w:space="0" w:color="000066"/>
              <w:right w:val="single" w:sz="6" w:space="0" w:color="000066"/>
            </w:tcBorders>
            <w:vAlign w:val="center"/>
          </w:tcPr>
          <w:p w14:paraId="4AB119B2" w14:textId="7AE06FB4" w:rsidR="00F11F9F" w:rsidRDefault="00F11F9F" w:rsidP="009E538A">
            <w:pPr>
              <w:spacing w:before="0" w:after="160" w:line="259" w:lineRule="auto"/>
              <w:ind w:left="360"/>
              <w:contextualSpacing/>
            </w:pPr>
          </w:p>
        </w:tc>
      </w:tr>
      <w:bookmarkEnd w:id="43"/>
      <w:tr w:rsidR="002A3F8F" w:rsidRPr="00027B6F" w14:paraId="35767F0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A783659" w14:textId="31B43E9E" w:rsidR="002A3F8F" w:rsidRPr="009E538A" w:rsidRDefault="00EB5194" w:rsidP="009E538A">
            <w:pPr>
              <w:spacing w:line="360" w:lineRule="auto"/>
              <w:ind w:left="360"/>
              <w:rPr>
                <w:rFonts w:cs="Arial"/>
                <w:b/>
                <w:noProof/>
              </w:rPr>
            </w:pPr>
            <w:r>
              <w:rPr>
                <w:rFonts w:cs="Arial"/>
                <w:b/>
                <w:noProof/>
              </w:rPr>
              <w:t>12</w:t>
            </w:r>
          </w:p>
        </w:tc>
        <w:tc>
          <w:tcPr>
            <w:tcW w:w="4404" w:type="pct"/>
            <w:tcBorders>
              <w:top w:val="single" w:sz="6" w:space="0" w:color="000066"/>
              <w:left w:val="single" w:sz="6" w:space="0" w:color="000066"/>
              <w:bottom w:val="single" w:sz="6" w:space="0" w:color="000066"/>
              <w:right w:val="single" w:sz="6" w:space="0" w:color="000066"/>
            </w:tcBorders>
            <w:vAlign w:val="center"/>
          </w:tcPr>
          <w:p w14:paraId="60C9B6CB" w14:textId="0336FAB9" w:rsidR="002A3F8F" w:rsidRPr="006347BD" w:rsidRDefault="002A3F8F" w:rsidP="00370BE5">
            <w:pPr>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6AD3036B" w:rsidR="002A3F8F" w:rsidRPr="002C71BE" w:rsidRDefault="00EB5194" w:rsidP="002C71BE">
            <w:pPr>
              <w:spacing w:line="360" w:lineRule="auto"/>
              <w:ind w:left="360"/>
              <w:rPr>
                <w:rFonts w:cs="Arial"/>
                <w:b/>
                <w:bCs/>
                <w:noProof/>
              </w:rPr>
            </w:pPr>
            <w:r>
              <w:rPr>
                <w:rFonts w:cs="Arial"/>
                <w:b/>
                <w:bCs/>
                <w:noProof/>
              </w:rPr>
              <w:t>13</w:t>
            </w: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6F3D2FC5" w:rsidR="002A3F8F" w:rsidRPr="006347BD" w:rsidRDefault="002A3F8F" w:rsidP="00370BE5">
            <w:pPr>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3C371FC6" w:rsidR="003956C7" w:rsidRPr="002C71BE" w:rsidRDefault="00EB5194" w:rsidP="002C71BE">
            <w:pPr>
              <w:spacing w:line="360" w:lineRule="auto"/>
              <w:ind w:left="360"/>
              <w:rPr>
                <w:rFonts w:cs="Arial"/>
                <w:b/>
                <w:bCs/>
                <w:noProof/>
              </w:rPr>
            </w:pPr>
            <w:r>
              <w:rPr>
                <w:rFonts w:cs="Arial"/>
                <w:b/>
                <w:bCs/>
                <w:noProof/>
              </w:rPr>
              <w:t>14</w:t>
            </w: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195E8AFD" w:rsidR="003956C7" w:rsidRPr="006347BD" w:rsidRDefault="003956C7" w:rsidP="00370BE5">
            <w:pPr>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29CACB2B" w:rsidR="003956C7" w:rsidRPr="002C71BE" w:rsidRDefault="00EB5194" w:rsidP="002C71BE">
            <w:pPr>
              <w:spacing w:line="360" w:lineRule="auto"/>
              <w:ind w:left="360"/>
              <w:rPr>
                <w:rFonts w:cs="Arial"/>
                <w:b/>
                <w:bCs/>
                <w:noProof/>
              </w:rPr>
            </w:pPr>
            <w:r>
              <w:rPr>
                <w:rFonts w:cs="Arial"/>
                <w:b/>
                <w:bCs/>
                <w:noProof/>
              </w:rPr>
              <w:t>15</w:t>
            </w: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5B06BE09" w:rsidR="003956C7" w:rsidRPr="006347BD" w:rsidRDefault="003956C7" w:rsidP="00370BE5">
            <w:pPr>
              <w:rPr>
                <w:rFonts w:cs="Arial"/>
                <w:bCs/>
              </w:rPr>
            </w:pPr>
          </w:p>
        </w:tc>
      </w:tr>
      <w:tr w:rsidR="002C71BE" w:rsidRPr="00027B6F" w14:paraId="60C393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F4EABB" w14:textId="63E0FB19" w:rsidR="002C71BE" w:rsidRPr="002C71BE" w:rsidRDefault="00EB5194" w:rsidP="002C71BE">
            <w:pPr>
              <w:spacing w:line="360" w:lineRule="auto"/>
              <w:ind w:left="360"/>
              <w:rPr>
                <w:rFonts w:cs="Arial"/>
                <w:b/>
                <w:bCs/>
                <w:noProof/>
              </w:rPr>
            </w:pPr>
            <w:r>
              <w:rPr>
                <w:rFonts w:cs="Arial"/>
                <w:b/>
                <w:bCs/>
                <w:noProof/>
              </w:rPr>
              <w:t>16</w:t>
            </w:r>
          </w:p>
        </w:tc>
        <w:tc>
          <w:tcPr>
            <w:tcW w:w="4404" w:type="pct"/>
            <w:tcBorders>
              <w:top w:val="single" w:sz="6" w:space="0" w:color="000066"/>
              <w:left w:val="single" w:sz="6" w:space="0" w:color="000066"/>
              <w:bottom w:val="single" w:sz="6" w:space="0" w:color="000066"/>
              <w:right w:val="single" w:sz="6" w:space="0" w:color="000066"/>
            </w:tcBorders>
            <w:vAlign w:val="center"/>
          </w:tcPr>
          <w:p w14:paraId="49DDE5BE" w14:textId="2CB54CF7" w:rsidR="002C71BE" w:rsidRPr="0080315F" w:rsidRDefault="002C71BE" w:rsidP="00370BE5">
            <w:pPr>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490DDD0D" w:rsidR="003956C7" w:rsidRPr="002C71BE" w:rsidRDefault="00EB5194" w:rsidP="002C71BE">
            <w:pPr>
              <w:spacing w:line="360" w:lineRule="auto"/>
              <w:ind w:left="360"/>
              <w:rPr>
                <w:rFonts w:cs="Arial"/>
                <w:b/>
                <w:bCs/>
                <w:noProof/>
              </w:rPr>
            </w:pPr>
            <w:r>
              <w:rPr>
                <w:rFonts w:cs="Arial"/>
                <w:b/>
                <w:bCs/>
                <w:noProof/>
              </w:rPr>
              <w:t>17</w:t>
            </w: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42567693" w:rsidR="003956C7" w:rsidRPr="006347BD" w:rsidRDefault="003956C7" w:rsidP="00370BE5">
            <w:pPr>
              <w:rPr>
                <w:rFonts w:cs="Arial"/>
                <w:bCs/>
              </w:rPr>
            </w:pPr>
          </w:p>
        </w:tc>
      </w:tr>
      <w:tr w:rsidR="003E45B6" w:rsidRPr="00027B6F" w14:paraId="4FACA30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9CB20B5" w14:textId="33E615F0" w:rsidR="003E45B6" w:rsidRPr="002C71BE" w:rsidRDefault="00EB5194" w:rsidP="002C71BE">
            <w:pPr>
              <w:spacing w:line="360" w:lineRule="auto"/>
              <w:ind w:left="360"/>
              <w:rPr>
                <w:rFonts w:cs="Arial"/>
                <w:b/>
                <w:bCs/>
                <w:noProof/>
              </w:rPr>
            </w:pPr>
            <w:r>
              <w:rPr>
                <w:rFonts w:cs="Arial"/>
                <w:b/>
                <w:bCs/>
                <w:noProof/>
              </w:rPr>
              <w:t>18</w:t>
            </w:r>
          </w:p>
        </w:tc>
        <w:tc>
          <w:tcPr>
            <w:tcW w:w="4404" w:type="pct"/>
            <w:tcBorders>
              <w:top w:val="single" w:sz="6" w:space="0" w:color="000066"/>
              <w:left w:val="single" w:sz="6" w:space="0" w:color="000066"/>
              <w:bottom w:val="single" w:sz="6" w:space="0" w:color="000066"/>
              <w:right w:val="single" w:sz="6" w:space="0" w:color="000066"/>
            </w:tcBorders>
            <w:vAlign w:val="center"/>
          </w:tcPr>
          <w:p w14:paraId="30B29FE3" w14:textId="0A0FACE3" w:rsidR="003E45B6" w:rsidRPr="00683CF0" w:rsidRDefault="003E45B6" w:rsidP="00370BE5">
            <w:pPr>
              <w:rPr>
                <w:rFonts w:cs="Arial"/>
                <w:bCs/>
              </w:rPr>
            </w:pPr>
          </w:p>
        </w:tc>
      </w:tr>
      <w:tr w:rsidR="00507C53" w:rsidRPr="00027B6F" w14:paraId="0029CFA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E187D8" w14:textId="7321926C" w:rsidR="00507C53" w:rsidDel="00EB5194" w:rsidRDefault="001666D2" w:rsidP="002C71BE">
            <w:pPr>
              <w:spacing w:line="360" w:lineRule="auto"/>
              <w:ind w:left="360"/>
              <w:rPr>
                <w:rFonts w:cs="Arial"/>
                <w:b/>
                <w:bCs/>
                <w:noProof/>
              </w:rPr>
            </w:pPr>
            <w:r>
              <w:rPr>
                <w:rFonts w:cs="Arial"/>
                <w:b/>
                <w:bCs/>
                <w:noProof/>
              </w:rPr>
              <w:t>19</w:t>
            </w:r>
          </w:p>
        </w:tc>
        <w:tc>
          <w:tcPr>
            <w:tcW w:w="4404" w:type="pct"/>
            <w:tcBorders>
              <w:top w:val="single" w:sz="6" w:space="0" w:color="000066"/>
              <w:left w:val="single" w:sz="6" w:space="0" w:color="000066"/>
              <w:bottom w:val="single" w:sz="6" w:space="0" w:color="000066"/>
              <w:right w:val="single" w:sz="6" w:space="0" w:color="000066"/>
            </w:tcBorders>
            <w:vAlign w:val="center"/>
          </w:tcPr>
          <w:p w14:paraId="052539DF" w14:textId="16683EE2" w:rsidR="00507C53" w:rsidRDefault="00507C53" w:rsidP="00370BE5">
            <w:pPr>
              <w:rPr>
                <w:rFonts w:cs="Arial"/>
                <w:bCs/>
              </w:rPr>
            </w:pPr>
          </w:p>
        </w:tc>
      </w:tr>
      <w:tr w:rsidR="00EB5194" w:rsidRPr="00027B6F" w14:paraId="5AAF8E9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C04C7FD" w14:textId="64D71CE1" w:rsidR="00EB5194" w:rsidRDefault="001666D2" w:rsidP="002C71BE">
            <w:pPr>
              <w:spacing w:line="360" w:lineRule="auto"/>
              <w:ind w:left="360"/>
              <w:rPr>
                <w:rFonts w:cs="Arial"/>
                <w:b/>
                <w:bCs/>
                <w:noProof/>
              </w:rPr>
            </w:pPr>
            <w:r>
              <w:rPr>
                <w:rFonts w:cs="Arial"/>
                <w:b/>
                <w:bCs/>
                <w:noProof/>
              </w:rPr>
              <w:lastRenderedPageBreak/>
              <w:t>20</w:t>
            </w:r>
          </w:p>
        </w:tc>
        <w:tc>
          <w:tcPr>
            <w:tcW w:w="4404" w:type="pct"/>
            <w:tcBorders>
              <w:top w:val="single" w:sz="6" w:space="0" w:color="000066"/>
              <w:left w:val="single" w:sz="6" w:space="0" w:color="000066"/>
              <w:bottom w:val="single" w:sz="6" w:space="0" w:color="000066"/>
              <w:right w:val="single" w:sz="6" w:space="0" w:color="000066"/>
            </w:tcBorders>
            <w:vAlign w:val="center"/>
          </w:tcPr>
          <w:p w14:paraId="0E79333E" w14:textId="38412358" w:rsidR="00EB5194" w:rsidRDefault="00EB5194" w:rsidP="00370BE5">
            <w:pPr>
              <w:rPr>
                <w:rFonts w:cs="Arial"/>
                <w:bCs/>
              </w:rPr>
            </w:pPr>
          </w:p>
        </w:tc>
      </w:tr>
      <w:tr w:rsidR="00EB5194" w:rsidRPr="00027B6F" w14:paraId="67479DC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531ADDB" w14:textId="1A163142" w:rsidR="00EB5194" w:rsidRDefault="00EB5194" w:rsidP="002C71BE">
            <w:pPr>
              <w:spacing w:line="360" w:lineRule="auto"/>
              <w:ind w:left="360"/>
              <w:rPr>
                <w:rFonts w:cs="Arial"/>
                <w:b/>
                <w:bCs/>
                <w:noProof/>
              </w:rPr>
            </w:pPr>
            <w:r>
              <w:rPr>
                <w:rFonts w:cs="Arial"/>
                <w:b/>
                <w:bCs/>
                <w:noProof/>
              </w:rPr>
              <w:t>2</w:t>
            </w:r>
            <w:r w:rsidR="001666D2">
              <w:rPr>
                <w:rFonts w:cs="Arial"/>
                <w:b/>
                <w:bCs/>
                <w:noProof/>
              </w:rPr>
              <w:t>1</w:t>
            </w:r>
          </w:p>
        </w:tc>
        <w:tc>
          <w:tcPr>
            <w:tcW w:w="4404" w:type="pct"/>
            <w:tcBorders>
              <w:top w:val="single" w:sz="6" w:space="0" w:color="000066"/>
              <w:left w:val="single" w:sz="6" w:space="0" w:color="000066"/>
              <w:bottom w:val="single" w:sz="6" w:space="0" w:color="000066"/>
              <w:right w:val="single" w:sz="6" w:space="0" w:color="000066"/>
            </w:tcBorders>
            <w:vAlign w:val="center"/>
          </w:tcPr>
          <w:p w14:paraId="6DE78E36" w14:textId="35F5A622" w:rsidR="00EB5194" w:rsidRDefault="00EB5194" w:rsidP="00370BE5">
            <w:pPr>
              <w:rPr>
                <w:rFonts w:cs="Arial"/>
                <w:bCs/>
              </w:rPr>
            </w:pPr>
          </w:p>
        </w:tc>
      </w:tr>
    </w:tbl>
    <w:p w14:paraId="153FF6A2" w14:textId="49BC9C53" w:rsidR="00CC0C7A" w:rsidRPr="00CC0C7A" w:rsidRDefault="00CC0C7A" w:rsidP="00370BE5">
      <w:pPr>
        <w:pStyle w:val="Heading2"/>
        <w:keepNext w:val="0"/>
      </w:pPr>
      <w:r w:rsidRPr="00CC0C7A">
        <w:t>Responses should</w:t>
      </w:r>
      <w:r>
        <w:t xml:space="preserve"> be submitted using Attachment </w:t>
      </w:r>
      <w:r w:rsidR="003956C7">
        <w:t>2</w:t>
      </w:r>
      <w:r w:rsidRPr="00CC0C7A">
        <w:t xml:space="preserve"> to dcusa@electralink.co.uk no later than </w:t>
      </w:r>
      <w:r w:rsidR="00BB618A">
        <w:t>xxx</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370BE5">
      <w:pPr>
        <w:pStyle w:val="Heading02"/>
      </w:pPr>
      <w:bookmarkStart w:id="44" w:name="_Toc177119175"/>
      <w:r w:rsidRPr="00FD64CC">
        <w:t>Attachments</w:t>
      </w:r>
      <w:bookmarkEnd w:id="44"/>
      <w:r w:rsidRPr="00FD64CC">
        <w:t xml:space="preserve"> </w:t>
      </w:r>
    </w:p>
    <w:p w14:paraId="0F7C7FC5" w14:textId="53F7E13D" w:rsidR="002A3F8F" w:rsidRPr="002A3F8F" w:rsidRDefault="002A3F8F">
      <w:pPr>
        <w:numPr>
          <w:ilvl w:val="0"/>
          <w:numId w:val="16"/>
        </w:numPr>
      </w:pPr>
      <w:r w:rsidRPr="002A3F8F">
        <w:t xml:space="preserve">Attachment 1 – </w:t>
      </w:r>
      <w:r w:rsidR="00CB3185">
        <w:t xml:space="preserve">DCP </w:t>
      </w:r>
      <w:r w:rsidR="004C291F">
        <w:t>44</w:t>
      </w:r>
      <w:r w:rsidR="00AC59D2">
        <w:t>3</w:t>
      </w:r>
      <w:r w:rsidR="00CB3185">
        <w:t xml:space="preserve"> </w:t>
      </w:r>
      <w:r w:rsidR="000B137D">
        <w:t>Consultation 2 Response Form</w:t>
      </w:r>
    </w:p>
    <w:p w14:paraId="745C80B9" w14:textId="77777777" w:rsidR="000B137D" w:rsidRDefault="000B137D">
      <w:pPr>
        <w:pStyle w:val="ListParagraph"/>
        <w:numPr>
          <w:ilvl w:val="0"/>
          <w:numId w:val="16"/>
        </w:numPr>
      </w:pPr>
      <w:r w:rsidRPr="004639C7">
        <w:t xml:space="preserve">Attachment </w:t>
      </w:r>
      <w:r>
        <w:t>2</w:t>
      </w:r>
      <w:r w:rsidRPr="004639C7">
        <w:t>: DCP 4</w:t>
      </w:r>
      <w:r>
        <w:t>43</w:t>
      </w:r>
      <w:r w:rsidRPr="004639C7">
        <w:t xml:space="preserve"> Change Proposal Form </w:t>
      </w:r>
    </w:p>
    <w:p w14:paraId="1BC32987" w14:textId="77777777" w:rsidR="000B137D" w:rsidRDefault="000B137D">
      <w:pPr>
        <w:pStyle w:val="ListParagraph"/>
        <w:numPr>
          <w:ilvl w:val="0"/>
          <w:numId w:val="16"/>
        </w:numPr>
      </w:pPr>
      <w:r>
        <w:t>Attachment 3: DCP 443 Legal Text</w:t>
      </w:r>
    </w:p>
    <w:p w14:paraId="291CDE4F" w14:textId="77777777" w:rsidR="000B137D" w:rsidRDefault="000B137D">
      <w:pPr>
        <w:pStyle w:val="ListParagraph"/>
        <w:numPr>
          <w:ilvl w:val="0"/>
          <w:numId w:val="16"/>
        </w:numPr>
      </w:pPr>
      <w:r>
        <w:t>Attachment 4: DCP 443 Consultation Responses</w:t>
      </w:r>
    </w:p>
    <w:p w14:paraId="5389545D" w14:textId="77777777" w:rsidR="000B137D" w:rsidRDefault="000B137D">
      <w:pPr>
        <w:pStyle w:val="ListParagraph"/>
        <w:numPr>
          <w:ilvl w:val="0"/>
          <w:numId w:val="16"/>
        </w:numPr>
      </w:pPr>
      <w:r>
        <w:t>Attachment 5: DCP 443 RFI Responses</w:t>
      </w:r>
    </w:p>
    <w:p w14:paraId="5676618E" w14:textId="77777777" w:rsidR="000B137D" w:rsidRDefault="000B137D">
      <w:pPr>
        <w:pStyle w:val="ListParagraph"/>
        <w:numPr>
          <w:ilvl w:val="0"/>
          <w:numId w:val="16"/>
        </w:numPr>
      </w:pPr>
      <w:r>
        <w:t>Attachment 6: DCP 443 RFI Analysis</w:t>
      </w:r>
    </w:p>
    <w:p w14:paraId="16896266" w14:textId="77777777" w:rsidR="000B137D" w:rsidRDefault="000B137D">
      <w:pPr>
        <w:pStyle w:val="ListParagraph"/>
        <w:numPr>
          <w:ilvl w:val="0"/>
          <w:numId w:val="16"/>
        </w:numPr>
      </w:pPr>
      <w:r>
        <w:t xml:space="preserve">Attachment 7: </w:t>
      </w:r>
      <w:r w:rsidRPr="00651EA3">
        <w:t>Excess Capacity Test Model - guidance documentation</w:t>
      </w:r>
    </w:p>
    <w:p w14:paraId="2F90A66B" w14:textId="77777777" w:rsidR="000B137D" w:rsidRPr="00540849" w:rsidRDefault="000B137D">
      <w:pPr>
        <w:pStyle w:val="ListParagraph"/>
        <w:numPr>
          <w:ilvl w:val="0"/>
          <w:numId w:val="16"/>
        </w:numPr>
      </w:pPr>
      <w:r>
        <w:t>Attachment 8: DCP 443 Model Specification</w:t>
      </w:r>
    </w:p>
    <w:p w14:paraId="24DE4931" w14:textId="5CEFBE18" w:rsidR="002C357F" w:rsidRDefault="002C357F">
      <w:pPr>
        <w:numPr>
          <w:ilvl w:val="0"/>
          <w:numId w:val="16"/>
        </w:numPr>
        <w:sectPr w:rsidR="002C357F" w:rsidSect="00D21BB7">
          <w:headerReference w:type="default" r:id="rId22"/>
          <w:footerReference w:type="default" r:id="rId23"/>
          <w:type w:val="continuous"/>
          <w:pgSz w:w="11906" w:h="16838"/>
          <w:pgMar w:top="1440" w:right="1440" w:bottom="1440" w:left="1440" w:header="142" w:footer="701" w:gutter="0"/>
          <w:cols w:space="708"/>
          <w:docGrid w:linePitch="360"/>
        </w:sectPr>
      </w:pPr>
    </w:p>
    <w:p w14:paraId="58E76741" w14:textId="77777777" w:rsidR="002C357F" w:rsidRPr="0002309B" w:rsidRDefault="002C357F" w:rsidP="00644F45"/>
    <w:sectPr w:rsidR="002C357F" w:rsidRPr="0002309B" w:rsidSect="00AC7CD6">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6-02-10T13:55:00Z" w:initials="AG">
    <w:p w14:paraId="2729FF49" w14:textId="77777777" w:rsidR="0041589A" w:rsidRDefault="0041589A" w:rsidP="0041589A">
      <w:pPr>
        <w:pStyle w:val="CommentText"/>
      </w:pPr>
      <w:r>
        <w:rPr>
          <w:rStyle w:val="CommentReference"/>
        </w:rPr>
        <w:annotationRef/>
      </w:r>
      <w:r>
        <w:t>TBC</w:t>
      </w:r>
    </w:p>
  </w:comment>
  <w:comment w:id="3" w:author="Andy Green" w:date="2026-02-10T13:56:00Z" w:initials="AG">
    <w:p w14:paraId="18D1D603" w14:textId="77777777" w:rsidR="0041589A" w:rsidRDefault="0041589A" w:rsidP="0041589A">
      <w:pPr>
        <w:pStyle w:val="CommentText"/>
      </w:pPr>
      <w:r>
        <w:rPr>
          <w:rStyle w:val="CommentReference"/>
        </w:rPr>
        <w:annotationRef/>
      </w:r>
      <w:r>
        <w:t>TBC</w:t>
      </w:r>
    </w:p>
  </w:comment>
  <w:comment w:id="33" w:author="Andy Green" w:date="2026-06-29T18:08:00Z" w:initials="AG">
    <w:p w14:paraId="1A588544" w14:textId="77777777" w:rsidR="000B137D" w:rsidRDefault="000B137D" w:rsidP="000B137D">
      <w:pPr>
        <w:pStyle w:val="CommentText"/>
      </w:pPr>
      <w:r>
        <w:rPr>
          <w:rStyle w:val="CommentReference"/>
        </w:rPr>
        <w:annotationRef/>
      </w:r>
      <w:r>
        <w:t>Needs a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9FF49" w15:done="0"/>
  <w15:commentEx w15:paraId="18D1D603" w15:done="0"/>
  <w15:commentEx w15:paraId="1A588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4052F9" w16cex:dateUtc="2026-02-10T13:55:00Z"/>
  <w16cex:commentExtensible w16cex:durableId="74621C08" w16cex:dateUtc="2026-02-10T13:56:00Z"/>
  <w16cex:commentExtensible w16cex:durableId="4E8E746B" w16cex:dateUtc="2026-06-29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9FF49" w16cid:durableId="434052F9"/>
  <w16cid:commentId w16cid:paraId="18D1D603" w16cid:durableId="74621C08"/>
  <w16cid:commentId w16cid:paraId="1A588544" w16cid:durableId="4E8E74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0B85" w14:textId="77777777" w:rsidR="00B74348" w:rsidRDefault="00B74348">
      <w:pPr>
        <w:spacing w:line="240" w:lineRule="auto"/>
      </w:pPr>
      <w:r>
        <w:separator/>
      </w:r>
    </w:p>
    <w:p w14:paraId="389FEF65" w14:textId="77777777" w:rsidR="00B74348" w:rsidRDefault="00B74348"/>
  </w:endnote>
  <w:endnote w:type="continuationSeparator" w:id="0">
    <w:p w14:paraId="71DC9290" w14:textId="77777777" w:rsidR="00B74348" w:rsidRDefault="00B74348">
      <w:pPr>
        <w:spacing w:line="240" w:lineRule="auto"/>
      </w:pPr>
      <w:r>
        <w:continuationSeparator/>
      </w:r>
    </w:p>
    <w:p w14:paraId="35EF9C45" w14:textId="77777777" w:rsidR="00B74348" w:rsidRDefault="00B74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0E9E5642"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w:t>
    </w:r>
    <w:r w:rsidR="000D2E96">
      <w:rPr>
        <w:rFonts w:cs="Arial"/>
        <w:sz w:val="16"/>
        <w:szCs w:val="16"/>
      </w:rPr>
      <w:t>3</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34A6" w14:textId="77777777" w:rsidR="00B74348" w:rsidRDefault="00B74348">
      <w:pPr>
        <w:spacing w:line="240" w:lineRule="auto"/>
      </w:pPr>
      <w:r>
        <w:separator/>
      </w:r>
    </w:p>
    <w:p w14:paraId="5F74B05A" w14:textId="77777777" w:rsidR="00B74348" w:rsidRDefault="00B74348"/>
  </w:footnote>
  <w:footnote w:type="continuationSeparator" w:id="0">
    <w:p w14:paraId="44978C5B" w14:textId="77777777" w:rsidR="00B74348" w:rsidRDefault="00B74348">
      <w:pPr>
        <w:spacing w:line="240" w:lineRule="auto"/>
      </w:pPr>
      <w:r>
        <w:continuationSeparator/>
      </w:r>
    </w:p>
    <w:p w14:paraId="04F05B99" w14:textId="77777777" w:rsidR="00B74348" w:rsidRDefault="00B74348"/>
  </w:footnote>
  <w:footnote w:id="1">
    <w:p w14:paraId="70BB767B" w14:textId="417718C4" w:rsidR="00365093" w:rsidRDefault="00365093">
      <w:pPr>
        <w:pStyle w:val="FootnoteText"/>
      </w:pPr>
      <w:r>
        <w:rPr>
          <w:rStyle w:val="FootnoteReference"/>
        </w:rPr>
        <w:footnoteRef/>
      </w:r>
      <w:r>
        <w:t xml:space="preserve"> </w:t>
      </w:r>
      <w:r w:rsidRPr="00365093">
        <w:t>https://www.dcusa.co.uk/change/excess-capacity-charges/</w:t>
      </w:r>
    </w:p>
  </w:footnote>
  <w:footnote w:id="2">
    <w:p w14:paraId="7FC6D9F0" w14:textId="56B07465" w:rsidR="008F33CD" w:rsidRDefault="008F33CD">
      <w:pPr>
        <w:pStyle w:val="FootnoteText"/>
      </w:pPr>
      <w:r>
        <w:rPr>
          <w:rStyle w:val="FootnoteReference"/>
        </w:rPr>
        <w:footnoteRef/>
      </w:r>
      <w:r>
        <w:t xml:space="preserve"> </w:t>
      </w:r>
      <w:hyperlink r:id="rId1" w:history="1">
        <w:r w:rsidRPr="008F33CD">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3DD"/>
    <w:multiLevelType w:val="hybridMultilevel"/>
    <w:tmpl w:val="CF38356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1" w15:restartNumberingAfterBreak="0">
    <w:nsid w:val="04AB4AE2"/>
    <w:multiLevelType w:val="multilevel"/>
    <w:tmpl w:val="FC1C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14909"/>
    <w:multiLevelType w:val="multilevel"/>
    <w:tmpl w:val="1B6668A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D8D1E35"/>
    <w:multiLevelType w:val="hybridMultilevel"/>
    <w:tmpl w:val="F37EB6CE"/>
    <w:lvl w:ilvl="0" w:tplc="712E8BF6">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7" w15:restartNumberingAfterBreak="0">
    <w:nsid w:val="13A13964"/>
    <w:multiLevelType w:val="hybridMultilevel"/>
    <w:tmpl w:val="E60E6760"/>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62962FA"/>
    <w:multiLevelType w:val="hybridMultilevel"/>
    <w:tmpl w:val="D228C5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A0204B8"/>
    <w:multiLevelType w:val="multilevel"/>
    <w:tmpl w:val="00E6CCD2"/>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89A38E9"/>
    <w:multiLevelType w:val="multilevel"/>
    <w:tmpl w:val="F132B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F80BD3"/>
    <w:multiLevelType w:val="hybridMultilevel"/>
    <w:tmpl w:val="90D01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6F5625"/>
    <w:multiLevelType w:val="hybridMultilevel"/>
    <w:tmpl w:val="FFCCC73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0" w15:restartNumberingAfterBreak="0">
    <w:nsid w:val="51700691"/>
    <w:multiLevelType w:val="multilevel"/>
    <w:tmpl w:val="350E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2C4FA2"/>
    <w:multiLevelType w:val="hybridMultilevel"/>
    <w:tmpl w:val="5AC83B5E"/>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D104157"/>
    <w:multiLevelType w:val="multilevel"/>
    <w:tmpl w:val="4AE21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150B97"/>
    <w:multiLevelType w:val="hybridMultilevel"/>
    <w:tmpl w:val="20141AC6"/>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22614026">
    <w:abstractNumId w:val="31"/>
  </w:num>
  <w:num w:numId="2" w16cid:durableId="849758087">
    <w:abstractNumId w:val="25"/>
  </w:num>
  <w:num w:numId="3" w16cid:durableId="1236863558">
    <w:abstractNumId w:val="12"/>
  </w:num>
  <w:num w:numId="4" w16cid:durableId="1274095873">
    <w:abstractNumId w:val="14"/>
  </w:num>
  <w:num w:numId="5" w16cid:durableId="1330522362">
    <w:abstractNumId w:val="8"/>
  </w:num>
  <w:num w:numId="6" w16cid:durableId="821891965">
    <w:abstractNumId w:val="27"/>
  </w:num>
  <w:num w:numId="7" w16cid:durableId="1143159353">
    <w:abstractNumId w:val="15"/>
  </w:num>
  <w:num w:numId="8" w16cid:durableId="1586457345">
    <w:abstractNumId w:val="11"/>
  </w:num>
  <w:num w:numId="9" w16cid:durableId="1494102382">
    <w:abstractNumId w:val="24"/>
  </w:num>
  <w:num w:numId="10" w16cid:durableId="1995451997">
    <w:abstractNumId w:val="22"/>
  </w:num>
  <w:num w:numId="11" w16cid:durableId="1406605317">
    <w:abstractNumId w:val="5"/>
  </w:num>
  <w:num w:numId="12" w16cid:durableId="993530465">
    <w:abstractNumId w:val="4"/>
  </w:num>
  <w:num w:numId="13" w16cid:durableId="1395814033">
    <w:abstractNumId w:val="23"/>
  </w:num>
  <w:num w:numId="14" w16cid:durableId="135756207">
    <w:abstractNumId w:val="2"/>
  </w:num>
  <w:num w:numId="15" w16cid:durableId="1814517260">
    <w:abstractNumId w:val="21"/>
  </w:num>
  <w:num w:numId="16" w16cid:durableId="1375502073">
    <w:abstractNumId w:val="3"/>
  </w:num>
  <w:num w:numId="17" w16cid:durableId="1442260512">
    <w:abstractNumId w:val="32"/>
  </w:num>
  <w:num w:numId="18" w16cid:durableId="633558703">
    <w:abstractNumId w:val="13"/>
  </w:num>
  <w:num w:numId="19" w16cid:durableId="677465179">
    <w:abstractNumId w:val="9"/>
  </w:num>
  <w:num w:numId="20" w16cid:durableId="837427566">
    <w:abstractNumId w:val="6"/>
  </w:num>
  <w:num w:numId="21" w16cid:durableId="90400460">
    <w:abstractNumId w:val="29"/>
  </w:num>
  <w:num w:numId="22" w16cid:durableId="1209487850">
    <w:abstractNumId w:val="28"/>
  </w:num>
  <w:num w:numId="23" w16cid:durableId="866065052">
    <w:abstractNumId w:val="10"/>
  </w:num>
  <w:num w:numId="24" w16cid:durableId="893807448">
    <w:abstractNumId w:val="19"/>
  </w:num>
  <w:num w:numId="25" w16cid:durableId="1968274051">
    <w:abstractNumId w:val="18"/>
  </w:num>
  <w:num w:numId="26" w16cid:durableId="1860268420">
    <w:abstractNumId w:val="7"/>
  </w:num>
  <w:num w:numId="27" w16cid:durableId="1845438382">
    <w:abstractNumId w:val="0"/>
  </w:num>
  <w:num w:numId="28" w16cid:durableId="1068721744">
    <w:abstractNumId w:val="26"/>
  </w:num>
  <w:num w:numId="29" w16cid:durableId="2084789521">
    <w:abstractNumId w:val="20"/>
  </w:num>
  <w:num w:numId="30" w16cid:durableId="45373364">
    <w:abstractNumId w:val="1"/>
  </w:num>
  <w:num w:numId="31" w16cid:durableId="925529505">
    <w:abstractNumId w:val="30"/>
  </w:num>
  <w:num w:numId="32" w16cid:durableId="186254425">
    <w:abstractNumId w:val="17"/>
  </w:num>
  <w:num w:numId="33" w16cid:durableId="650332362">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07FBA"/>
    <w:rsid w:val="0001062B"/>
    <w:rsid w:val="0001312A"/>
    <w:rsid w:val="000131C0"/>
    <w:rsid w:val="000140D5"/>
    <w:rsid w:val="00014A06"/>
    <w:rsid w:val="00015169"/>
    <w:rsid w:val="0001585C"/>
    <w:rsid w:val="00021E27"/>
    <w:rsid w:val="0002309B"/>
    <w:rsid w:val="00023878"/>
    <w:rsid w:val="0002403C"/>
    <w:rsid w:val="00025241"/>
    <w:rsid w:val="00026A6A"/>
    <w:rsid w:val="0003044C"/>
    <w:rsid w:val="00030570"/>
    <w:rsid w:val="000363FA"/>
    <w:rsid w:val="00041A17"/>
    <w:rsid w:val="000422F4"/>
    <w:rsid w:val="000427B0"/>
    <w:rsid w:val="00043976"/>
    <w:rsid w:val="0004598C"/>
    <w:rsid w:val="00047F20"/>
    <w:rsid w:val="000534BB"/>
    <w:rsid w:val="000541AC"/>
    <w:rsid w:val="000546C7"/>
    <w:rsid w:val="00055793"/>
    <w:rsid w:val="0005617C"/>
    <w:rsid w:val="000561DC"/>
    <w:rsid w:val="00057C9D"/>
    <w:rsid w:val="00061E66"/>
    <w:rsid w:val="00062D1C"/>
    <w:rsid w:val="00062E0D"/>
    <w:rsid w:val="0006358C"/>
    <w:rsid w:val="00065512"/>
    <w:rsid w:val="00067E74"/>
    <w:rsid w:val="0007537E"/>
    <w:rsid w:val="0007703C"/>
    <w:rsid w:val="00082674"/>
    <w:rsid w:val="00082F1D"/>
    <w:rsid w:val="000861A9"/>
    <w:rsid w:val="000916B6"/>
    <w:rsid w:val="00096C4E"/>
    <w:rsid w:val="000A36A8"/>
    <w:rsid w:val="000B007D"/>
    <w:rsid w:val="000B1182"/>
    <w:rsid w:val="000B137D"/>
    <w:rsid w:val="000B2E3D"/>
    <w:rsid w:val="000B4C7A"/>
    <w:rsid w:val="000B572D"/>
    <w:rsid w:val="000B5D6C"/>
    <w:rsid w:val="000B6062"/>
    <w:rsid w:val="000C257F"/>
    <w:rsid w:val="000C48AD"/>
    <w:rsid w:val="000D0AAD"/>
    <w:rsid w:val="000D1D1B"/>
    <w:rsid w:val="000D1ECA"/>
    <w:rsid w:val="000D2E96"/>
    <w:rsid w:val="000D5720"/>
    <w:rsid w:val="000D66EC"/>
    <w:rsid w:val="000D7AA0"/>
    <w:rsid w:val="000E0100"/>
    <w:rsid w:val="000E034A"/>
    <w:rsid w:val="000E2E48"/>
    <w:rsid w:val="000E3F5B"/>
    <w:rsid w:val="000E76BF"/>
    <w:rsid w:val="000F1C4D"/>
    <w:rsid w:val="000F5735"/>
    <w:rsid w:val="000F7D79"/>
    <w:rsid w:val="00100F23"/>
    <w:rsid w:val="001019BE"/>
    <w:rsid w:val="001060C1"/>
    <w:rsid w:val="00111F27"/>
    <w:rsid w:val="00112F45"/>
    <w:rsid w:val="00116E9B"/>
    <w:rsid w:val="001216C5"/>
    <w:rsid w:val="0012496E"/>
    <w:rsid w:val="0012717A"/>
    <w:rsid w:val="0013583C"/>
    <w:rsid w:val="00143041"/>
    <w:rsid w:val="0014327C"/>
    <w:rsid w:val="001445A0"/>
    <w:rsid w:val="001451F4"/>
    <w:rsid w:val="00146470"/>
    <w:rsid w:val="00151CCE"/>
    <w:rsid w:val="001531F6"/>
    <w:rsid w:val="00153B91"/>
    <w:rsid w:val="001638A1"/>
    <w:rsid w:val="00164E30"/>
    <w:rsid w:val="001666D2"/>
    <w:rsid w:val="00174D21"/>
    <w:rsid w:val="001762D1"/>
    <w:rsid w:val="00182A0C"/>
    <w:rsid w:val="0018581B"/>
    <w:rsid w:val="001859F6"/>
    <w:rsid w:val="0018792D"/>
    <w:rsid w:val="00187969"/>
    <w:rsid w:val="00187A15"/>
    <w:rsid w:val="00187E2F"/>
    <w:rsid w:val="001937A0"/>
    <w:rsid w:val="00193F47"/>
    <w:rsid w:val="00194193"/>
    <w:rsid w:val="001962B4"/>
    <w:rsid w:val="00197A37"/>
    <w:rsid w:val="001A5839"/>
    <w:rsid w:val="001A6F74"/>
    <w:rsid w:val="001B2D7A"/>
    <w:rsid w:val="001B5895"/>
    <w:rsid w:val="001B78C4"/>
    <w:rsid w:val="001B7F13"/>
    <w:rsid w:val="001C01D5"/>
    <w:rsid w:val="001C0AAE"/>
    <w:rsid w:val="001C0C6E"/>
    <w:rsid w:val="001C207A"/>
    <w:rsid w:val="001C2C3E"/>
    <w:rsid w:val="001C665E"/>
    <w:rsid w:val="001D0B92"/>
    <w:rsid w:val="001D3EFD"/>
    <w:rsid w:val="001D7EC5"/>
    <w:rsid w:val="001E2563"/>
    <w:rsid w:val="001E32D7"/>
    <w:rsid w:val="001E5D9F"/>
    <w:rsid w:val="001E6DCF"/>
    <w:rsid w:val="001F0E93"/>
    <w:rsid w:val="001F36FC"/>
    <w:rsid w:val="001F3812"/>
    <w:rsid w:val="001F3E70"/>
    <w:rsid w:val="001F4DA0"/>
    <w:rsid w:val="001F4E8A"/>
    <w:rsid w:val="001F5F6C"/>
    <w:rsid w:val="001F630B"/>
    <w:rsid w:val="001F6CA7"/>
    <w:rsid w:val="001F6DA9"/>
    <w:rsid w:val="001F7908"/>
    <w:rsid w:val="001F7D0E"/>
    <w:rsid w:val="002036BB"/>
    <w:rsid w:val="002047E2"/>
    <w:rsid w:val="00205E60"/>
    <w:rsid w:val="0021037E"/>
    <w:rsid w:val="00210AC1"/>
    <w:rsid w:val="002126D4"/>
    <w:rsid w:val="00212BF5"/>
    <w:rsid w:val="0021418F"/>
    <w:rsid w:val="002148B6"/>
    <w:rsid w:val="0021545D"/>
    <w:rsid w:val="00215877"/>
    <w:rsid w:val="002161A4"/>
    <w:rsid w:val="00216D1C"/>
    <w:rsid w:val="00216E76"/>
    <w:rsid w:val="0022211E"/>
    <w:rsid w:val="00225F2B"/>
    <w:rsid w:val="002272EF"/>
    <w:rsid w:val="00231812"/>
    <w:rsid w:val="00236CC6"/>
    <w:rsid w:val="00236DCB"/>
    <w:rsid w:val="0024000A"/>
    <w:rsid w:val="002426A7"/>
    <w:rsid w:val="00251F86"/>
    <w:rsid w:val="00256075"/>
    <w:rsid w:val="00256566"/>
    <w:rsid w:val="00260BAE"/>
    <w:rsid w:val="00260C2C"/>
    <w:rsid w:val="002612FD"/>
    <w:rsid w:val="00262FDB"/>
    <w:rsid w:val="00263600"/>
    <w:rsid w:val="002660EC"/>
    <w:rsid w:val="00266BC0"/>
    <w:rsid w:val="00271F0A"/>
    <w:rsid w:val="00272979"/>
    <w:rsid w:val="002733C1"/>
    <w:rsid w:val="002744D3"/>
    <w:rsid w:val="00274559"/>
    <w:rsid w:val="002758A6"/>
    <w:rsid w:val="0027771D"/>
    <w:rsid w:val="00280B19"/>
    <w:rsid w:val="00281CF1"/>
    <w:rsid w:val="00281F45"/>
    <w:rsid w:val="00284D5F"/>
    <w:rsid w:val="00286CBD"/>
    <w:rsid w:val="00290F86"/>
    <w:rsid w:val="00291083"/>
    <w:rsid w:val="00292407"/>
    <w:rsid w:val="002933A2"/>
    <w:rsid w:val="002A0D66"/>
    <w:rsid w:val="002A369F"/>
    <w:rsid w:val="002A3F8F"/>
    <w:rsid w:val="002A6791"/>
    <w:rsid w:val="002B385B"/>
    <w:rsid w:val="002B4393"/>
    <w:rsid w:val="002B6671"/>
    <w:rsid w:val="002B68DB"/>
    <w:rsid w:val="002C1553"/>
    <w:rsid w:val="002C357F"/>
    <w:rsid w:val="002C71BE"/>
    <w:rsid w:val="002D25F9"/>
    <w:rsid w:val="002D5DFC"/>
    <w:rsid w:val="002D6272"/>
    <w:rsid w:val="002E139C"/>
    <w:rsid w:val="002E2A07"/>
    <w:rsid w:val="002E2ECA"/>
    <w:rsid w:val="002E5856"/>
    <w:rsid w:val="002F0224"/>
    <w:rsid w:val="002F13B8"/>
    <w:rsid w:val="002F357D"/>
    <w:rsid w:val="002F40F9"/>
    <w:rsid w:val="002F6CD0"/>
    <w:rsid w:val="00301DAF"/>
    <w:rsid w:val="00302F67"/>
    <w:rsid w:val="0030347F"/>
    <w:rsid w:val="00305AC5"/>
    <w:rsid w:val="00305C04"/>
    <w:rsid w:val="00306BF5"/>
    <w:rsid w:val="00310346"/>
    <w:rsid w:val="003127F1"/>
    <w:rsid w:val="00313E9E"/>
    <w:rsid w:val="00313FE4"/>
    <w:rsid w:val="0031573B"/>
    <w:rsid w:val="00316676"/>
    <w:rsid w:val="00316757"/>
    <w:rsid w:val="00320457"/>
    <w:rsid w:val="00320A64"/>
    <w:rsid w:val="003221E9"/>
    <w:rsid w:val="003259F7"/>
    <w:rsid w:val="0033097B"/>
    <w:rsid w:val="00331AA6"/>
    <w:rsid w:val="003328B8"/>
    <w:rsid w:val="00332FE3"/>
    <w:rsid w:val="00336821"/>
    <w:rsid w:val="00337FF6"/>
    <w:rsid w:val="003419A6"/>
    <w:rsid w:val="00341CAD"/>
    <w:rsid w:val="00342AAC"/>
    <w:rsid w:val="003440F4"/>
    <w:rsid w:val="00344FDC"/>
    <w:rsid w:val="00345171"/>
    <w:rsid w:val="003456CF"/>
    <w:rsid w:val="00351769"/>
    <w:rsid w:val="00351960"/>
    <w:rsid w:val="00351B9D"/>
    <w:rsid w:val="00352A27"/>
    <w:rsid w:val="0035381D"/>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C64"/>
    <w:rsid w:val="00381241"/>
    <w:rsid w:val="00381C63"/>
    <w:rsid w:val="00381EB7"/>
    <w:rsid w:val="00382814"/>
    <w:rsid w:val="0038482F"/>
    <w:rsid w:val="00386096"/>
    <w:rsid w:val="00387AA9"/>
    <w:rsid w:val="00390D19"/>
    <w:rsid w:val="003920ED"/>
    <w:rsid w:val="00394E23"/>
    <w:rsid w:val="003956C7"/>
    <w:rsid w:val="003971AB"/>
    <w:rsid w:val="003A016A"/>
    <w:rsid w:val="003A2AA8"/>
    <w:rsid w:val="003A2BCC"/>
    <w:rsid w:val="003A4FC7"/>
    <w:rsid w:val="003A6CCA"/>
    <w:rsid w:val="003B0780"/>
    <w:rsid w:val="003B1A71"/>
    <w:rsid w:val="003B4246"/>
    <w:rsid w:val="003B4359"/>
    <w:rsid w:val="003B44D0"/>
    <w:rsid w:val="003B4899"/>
    <w:rsid w:val="003B5816"/>
    <w:rsid w:val="003C1BBC"/>
    <w:rsid w:val="003C1E4D"/>
    <w:rsid w:val="003C22DF"/>
    <w:rsid w:val="003C457B"/>
    <w:rsid w:val="003C6AB2"/>
    <w:rsid w:val="003C7552"/>
    <w:rsid w:val="003D0281"/>
    <w:rsid w:val="003D0E0E"/>
    <w:rsid w:val="003D41D8"/>
    <w:rsid w:val="003D5877"/>
    <w:rsid w:val="003D6504"/>
    <w:rsid w:val="003E0757"/>
    <w:rsid w:val="003E0B53"/>
    <w:rsid w:val="003E16D8"/>
    <w:rsid w:val="003E1B16"/>
    <w:rsid w:val="003E2D5C"/>
    <w:rsid w:val="003E30C6"/>
    <w:rsid w:val="003E45B6"/>
    <w:rsid w:val="003E68DE"/>
    <w:rsid w:val="003F030F"/>
    <w:rsid w:val="003F0B70"/>
    <w:rsid w:val="003F2A86"/>
    <w:rsid w:val="00402656"/>
    <w:rsid w:val="004028D5"/>
    <w:rsid w:val="004045E4"/>
    <w:rsid w:val="00406FCA"/>
    <w:rsid w:val="00410710"/>
    <w:rsid w:val="004109DA"/>
    <w:rsid w:val="00410E7D"/>
    <w:rsid w:val="004115EA"/>
    <w:rsid w:val="00411892"/>
    <w:rsid w:val="00413790"/>
    <w:rsid w:val="0041589A"/>
    <w:rsid w:val="004159E6"/>
    <w:rsid w:val="00416F1D"/>
    <w:rsid w:val="00416FC8"/>
    <w:rsid w:val="00420FB8"/>
    <w:rsid w:val="00421B40"/>
    <w:rsid w:val="00421E44"/>
    <w:rsid w:val="00422258"/>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70AC"/>
    <w:rsid w:val="004579CF"/>
    <w:rsid w:val="0046001A"/>
    <w:rsid w:val="00461C2F"/>
    <w:rsid w:val="00463EF6"/>
    <w:rsid w:val="00466F9A"/>
    <w:rsid w:val="00467CA8"/>
    <w:rsid w:val="004710D6"/>
    <w:rsid w:val="00473B9D"/>
    <w:rsid w:val="00476B43"/>
    <w:rsid w:val="00484593"/>
    <w:rsid w:val="0048657A"/>
    <w:rsid w:val="004958FC"/>
    <w:rsid w:val="004A105A"/>
    <w:rsid w:val="004A22E8"/>
    <w:rsid w:val="004A3386"/>
    <w:rsid w:val="004A5970"/>
    <w:rsid w:val="004A631D"/>
    <w:rsid w:val="004A66DC"/>
    <w:rsid w:val="004B0AA7"/>
    <w:rsid w:val="004B0EA7"/>
    <w:rsid w:val="004B14D7"/>
    <w:rsid w:val="004B27FB"/>
    <w:rsid w:val="004B376C"/>
    <w:rsid w:val="004B53C8"/>
    <w:rsid w:val="004B7ABF"/>
    <w:rsid w:val="004B7AC8"/>
    <w:rsid w:val="004B7ACD"/>
    <w:rsid w:val="004C1901"/>
    <w:rsid w:val="004C2609"/>
    <w:rsid w:val="004C291F"/>
    <w:rsid w:val="004C3469"/>
    <w:rsid w:val="004C4371"/>
    <w:rsid w:val="004C6117"/>
    <w:rsid w:val="004C66D0"/>
    <w:rsid w:val="004D09F0"/>
    <w:rsid w:val="004D0D74"/>
    <w:rsid w:val="004D149E"/>
    <w:rsid w:val="004D1CB3"/>
    <w:rsid w:val="004D430C"/>
    <w:rsid w:val="004D638C"/>
    <w:rsid w:val="004E2468"/>
    <w:rsid w:val="004E3C55"/>
    <w:rsid w:val="004E5E00"/>
    <w:rsid w:val="004F253A"/>
    <w:rsid w:val="004F4A12"/>
    <w:rsid w:val="00500707"/>
    <w:rsid w:val="005023B5"/>
    <w:rsid w:val="00504E6C"/>
    <w:rsid w:val="005079E0"/>
    <w:rsid w:val="00507C53"/>
    <w:rsid w:val="00513062"/>
    <w:rsid w:val="00513631"/>
    <w:rsid w:val="00513D37"/>
    <w:rsid w:val="0051566C"/>
    <w:rsid w:val="00515AF1"/>
    <w:rsid w:val="005177DA"/>
    <w:rsid w:val="00520724"/>
    <w:rsid w:val="0052517D"/>
    <w:rsid w:val="005251AD"/>
    <w:rsid w:val="0052579B"/>
    <w:rsid w:val="00526D50"/>
    <w:rsid w:val="005279E7"/>
    <w:rsid w:val="00527EFC"/>
    <w:rsid w:val="00530FF8"/>
    <w:rsid w:val="005310CC"/>
    <w:rsid w:val="00531B35"/>
    <w:rsid w:val="005352A6"/>
    <w:rsid w:val="005357A0"/>
    <w:rsid w:val="00536BF8"/>
    <w:rsid w:val="00540357"/>
    <w:rsid w:val="00542EE3"/>
    <w:rsid w:val="00545D78"/>
    <w:rsid w:val="005469C0"/>
    <w:rsid w:val="0055068A"/>
    <w:rsid w:val="0055672D"/>
    <w:rsid w:val="00556DDD"/>
    <w:rsid w:val="00560EF2"/>
    <w:rsid w:val="00561CEC"/>
    <w:rsid w:val="005649CA"/>
    <w:rsid w:val="00564AD1"/>
    <w:rsid w:val="00566CEB"/>
    <w:rsid w:val="005703B3"/>
    <w:rsid w:val="005720CF"/>
    <w:rsid w:val="00576B57"/>
    <w:rsid w:val="00582E0D"/>
    <w:rsid w:val="00583453"/>
    <w:rsid w:val="0058426F"/>
    <w:rsid w:val="0058785C"/>
    <w:rsid w:val="00587E1E"/>
    <w:rsid w:val="005926D5"/>
    <w:rsid w:val="005943D0"/>
    <w:rsid w:val="0059515C"/>
    <w:rsid w:val="00597672"/>
    <w:rsid w:val="00597D29"/>
    <w:rsid w:val="005A0143"/>
    <w:rsid w:val="005A1E00"/>
    <w:rsid w:val="005A4046"/>
    <w:rsid w:val="005A4D49"/>
    <w:rsid w:val="005A4F5D"/>
    <w:rsid w:val="005A6174"/>
    <w:rsid w:val="005A7145"/>
    <w:rsid w:val="005B0B30"/>
    <w:rsid w:val="005B105E"/>
    <w:rsid w:val="005B378E"/>
    <w:rsid w:val="005B459B"/>
    <w:rsid w:val="005C1952"/>
    <w:rsid w:val="005C2175"/>
    <w:rsid w:val="005C22EF"/>
    <w:rsid w:val="005D0BB2"/>
    <w:rsid w:val="005D1C6B"/>
    <w:rsid w:val="005D2623"/>
    <w:rsid w:val="005D4418"/>
    <w:rsid w:val="005D4631"/>
    <w:rsid w:val="005D4958"/>
    <w:rsid w:val="005D4A2B"/>
    <w:rsid w:val="005D72CA"/>
    <w:rsid w:val="005E103C"/>
    <w:rsid w:val="005E1C1D"/>
    <w:rsid w:val="005E3915"/>
    <w:rsid w:val="005E661A"/>
    <w:rsid w:val="005F3932"/>
    <w:rsid w:val="005F39A1"/>
    <w:rsid w:val="005F41BC"/>
    <w:rsid w:val="005F4AE3"/>
    <w:rsid w:val="005F6CFF"/>
    <w:rsid w:val="00600528"/>
    <w:rsid w:val="00600B78"/>
    <w:rsid w:val="00605F3D"/>
    <w:rsid w:val="00607D91"/>
    <w:rsid w:val="00610152"/>
    <w:rsid w:val="00610C8D"/>
    <w:rsid w:val="00613074"/>
    <w:rsid w:val="006132EB"/>
    <w:rsid w:val="00616D31"/>
    <w:rsid w:val="0061728F"/>
    <w:rsid w:val="0062062A"/>
    <w:rsid w:val="00622259"/>
    <w:rsid w:val="00622DC8"/>
    <w:rsid w:val="00623022"/>
    <w:rsid w:val="006248E1"/>
    <w:rsid w:val="00624FA6"/>
    <w:rsid w:val="00627983"/>
    <w:rsid w:val="00630CE0"/>
    <w:rsid w:val="00630F15"/>
    <w:rsid w:val="00631710"/>
    <w:rsid w:val="0063186C"/>
    <w:rsid w:val="00631EBB"/>
    <w:rsid w:val="00632A23"/>
    <w:rsid w:val="006333F3"/>
    <w:rsid w:val="006347BD"/>
    <w:rsid w:val="006361BA"/>
    <w:rsid w:val="00637680"/>
    <w:rsid w:val="006377B6"/>
    <w:rsid w:val="00637CD6"/>
    <w:rsid w:val="00642C4D"/>
    <w:rsid w:val="006446DD"/>
    <w:rsid w:val="00644759"/>
    <w:rsid w:val="00644F45"/>
    <w:rsid w:val="00647335"/>
    <w:rsid w:val="00647753"/>
    <w:rsid w:val="00650186"/>
    <w:rsid w:val="00652D78"/>
    <w:rsid w:val="006533C3"/>
    <w:rsid w:val="00654765"/>
    <w:rsid w:val="006551B8"/>
    <w:rsid w:val="00657D79"/>
    <w:rsid w:val="006606BC"/>
    <w:rsid w:val="00661D6B"/>
    <w:rsid w:val="00665358"/>
    <w:rsid w:val="006653B5"/>
    <w:rsid w:val="006669CB"/>
    <w:rsid w:val="0067368F"/>
    <w:rsid w:val="00673F4F"/>
    <w:rsid w:val="0067455A"/>
    <w:rsid w:val="00674659"/>
    <w:rsid w:val="0068126E"/>
    <w:rsid w:val="00683360"/>
    <w:rsid w:val="00683CF0"/>
    <w:rsid w:val="006876B6"/>
    <w:rsid w:val="00687B98"/>
    <w:rsid w:val="00690DD7"/>
    <w:rsid w:val="00691A06"/>
    <w:rsid w:val="006945FB"/>
    <w:rsid w:val="00694865"/>
    <w:rsid w:val="0069714A"/>
    <w:rsid w:val="00697683"/>
    <w:rsid w:val="006A0767"/>
    <w:rsid w:val="006A1102"/>
    <w:rsid w:val="006A5279"/>
    <w:rsid w:val="006A55F8"/>
    <w:rsid w:val="006B2DDC"/>
    <w:rsid w:val="006B451F"/>
    <w:rsid w:val="006B536B"/>
    <w:rsid w:val="006B68D8"/>
    <w:rsid w:val="006B6905"/>
    <w:rsid w:val="006B6D83"/>
    <w:rsid w:val="006B732A"/>
    <w:rsid w:val="006C1856"/>
    <w:rsid w:val="006C26C5"/>
    <w:rsid w:val="006C5683"/>
    <w:rsid w:val="006C5DC5"/>
    <w:rsid w:val="006C5F60"/>
    <w:rsid w:val="006D0CC1"/>
    <w:rsid w:val="006D0E98"/>
    <w:rsid w:val="006D0FB6"/>
    <w:rsid w:val="006D1E62"/>
    <w:rsid w:val="006D1F16"/>
    <w:rsid w:val="006D5F15"/>
    <w:rsid w:val="006D75CD"/>
    <w:rsid w:val="006E22C1"/>
    <w:rsid w:val="006E569E"/>
    <w:rsid w:val="006E7327"/>
    <w:rsid w:val="006E7560"/>
    <w:rsid w:val="006E7A7E"/>
    <w:rsid w:val="006F19E3"/>
    <w:rsid w:val="006F2916"/>
    <w:rsid w:val="006F3D8D"/>
    <w:rsid w:val="006F4689"/>
    <w:rsid w:val="006F4798"/>
    <w:rsid w:val="006F733B"/>
    <w:rsid w:val="007015FF"/>
    <w:rsid w:val="00701D85"/>
    <w:rsid w:val="00701E18"/>
    <w:rsid w:val="00706916"/>
    <w:rsid w:val="00710C7E"/>
    <w:rsid w:val="00710E92"/>
    <w:rsid w:val="00714D4B"/>
    <w:rsid w:val="00714EC5"/>
    <w:rsid w:val="0071547D"/>
    <w:rsid w:val="00722FCE"/>
    <w:rsid w:val="0072385C"/>
    <w:rsid w:val="0072410B"/>
    <w:rsid w:val="00726171"/>
    <w:rsid w:val="00731B99"/>
    <w:rsid w:val="00733D46"/>
    <w:rsid w:val="00733F4B"/>
    <w:rsid w:val="00734630"/>
    <w:rsid w:val="00736714"/>
    <w:rsid w:val="007374B9"/>
    <w:rsid w:val="00740A8F"/>
    <w:rsid w:val="00741BE9"/>
    <w:rsid w:val="00742876"/>
    <w:rsid w:val="007431B7"/>
    <w:rsid w:val="00743985"/>
    <w:rsid w:val="00747A24"/>
    <w:rsid w:val="00754093"/>
    <w:rsid w:val="00756D6D"/>
    <w:rsid w:val="007607E8"/>
    <w:rsid w:val="007608FF"/>
    <w:rsid w:val="00760BD6"/>
    <w:rsid w:val="007626D9"/>
    <w:rsid w:val="00766A3F"/>
    <w:rsid w:val="00767460"/>
    <w:rsid w:val="00771ACE"/>
    <w:rsid w:val="007721DC"/>
    <w:rsid w:val="00772942"/>
    <w:rsid w:val="00774F15"/>
    <w:rsid w:val="00775EF4"/>
    <w:rsid w:val="00780130"/>
    <w:rsid w:val="00780910"/>
    <w:rsid w:val="00781B2C"/>
    <w:rsid w:val="00781D35"/>
    <w:rsid w:val="00784486"/>
    <w:rsid w:val="00787EDB"/>
    <w:rsid w:val="0079113B"/>
    <w:rsid w:val="00793EF9"/>
    <w:rsid w:val="00797AA8"/>
    <w:rsid w:val="007A0FB2"/>
    <w:rsid w:val="007A4F58"/>
    <w:rsid w:val="007A6725"/>
    <w:rsid w:val="007A7ADD"/>
    <w:rsid w:val="007B002D"/>
    <w:rsid w:val="007B0998"/>
    <w:rsid w:val="007B2962"/>
    <w:rsid w:val="007B3D0B"/>
    <w:rsid w:val="007B42B2"/>
    <w:rsid w:val="007B4476"/>
    <w:rsid w:val="007C00DA"/>
    <w:rsid w:val="007C0D38"/>
    <w:rsid w:val="007C0E16"/>
    <w:rsid w:val="007C39B0"/>
    <w:rsid w:val="007C4E55"/>
    <w:rsid w:val="007C7FB5"/>
    <w:rsid w:val="007D5BA8"/>
    <w:rsid w:val="007D6239"/>
    <w:rsid w:val="007D7C47"/>
    <w:rsid w:val="007E1A43"/>
    <w:rsid w:val="007E354C"/>
    <w:rsid w:val="007E3C0E"/>
    <w:rsid w:val="007E572E"/>
    <w:rsid w:val="007E718E"/>
    <w:rsid w:val="007F5A9E"/>
    <w:rsid w:val="008004EF"/>
    <w:rsid w:val="00801327"/>
    <w:rsid w:val="0080315F"/>
    <w:rsid w:val="008053AF"/>
    <w:rsid w:val="008115C5"/>
    <w:rsid w:val="0081167C"/>
    <w:rsid w:val="00812404"/>
    <w:rsid w:val="00812C70"/>
    <w:rsid w:val="00813C26"/>
    <w:rsid w:val="0081418A"/>
    <w:rsid w:val="008149B0"/>
    <w:rsid w:val="008177D7"/>
    <w:rsid w:val="0082092D"/>
    <w:rsid w:val="00821E80"/>
    <w:rsid w:val="00822B26"/>
    <w:rsid w:val="00822D9F"/>
    <w:rsid w:val="00826203"/>
    <w:rsid w:val="008272A5"/>
    <w:rsid w:val="008277A6"/>
    <w:rsid w:val="008319A1"/>
    <w:rsid w:val="00832598"/>
    <w:rsid w:val="00833183"/>
    <w:rsid w:val="008333C9"/>
    <w:rsid w:val="0083513C"/>
    <w:rsid w:val="0084205F"/>
    <w:rsid w:val="008423A3"/>
    <w:rsid w:val="00846D9D"/>
    <w:rsid w:val="008473D9"/>
    <w:rsid w:val="0085211A"/>
    <w:rsid w:val="00855F2C"/>
    <w:rsid w:val="00856C0B"/>
    <w:rsid w:val="00860F0F"/>
    <w:rsid w:val="0086142A"/>
    <w:rsid w:val="00861D88"/>
    <w:rsid w:val="00862D16"/>
    <w:rsid w:val="00870F0E"/>
    <w:rsid w:val="008715F6"/>
    <w:rsid w:val="0087362B"/>
    <w:rsid w:val="00875A34"/>
    <w:rsid w:val="00876FA4"/>
    <w:rsid w:val="00877945"/>
    <w:rsid w:val="00880168"/>
    <w:rsid w:val="008825E0"/>
    <w:rsid w:val="00882D3C"/>
    <w:rsid w:val="00882F64"/>
    <w:rsid w:val="008847ED"/>
    <w:rsid w:val="00887D24"/>
    <w:rsid w:val="00892D3B"/>
    <w:rsid w:val="00895154"/>
    <w:rsid w:val="008956C0"/>
    <w:rsid w:val="00897EDC"/>
    <w:rsid w:val="008A0A36"/>
    <w:rsid w:val="008A17EB"/>
    <w:rsid w:val="008A2F12"/>
    <w:rsid w:val="008A5134"/>
    <w:rsid w:val="008A69D0"/>
    <w:rsid w:val="008B2D71"/>
    <w:rsid w:val="008B6CCD"/>
    <w:rsid w:val="008C1351"/>
    <w:rsid w:val="008C5774"/>
    <w:rsid w:val="008C579E"/>
    <w:rsid w:val="008C6612"/>
    <w:rsid w:val="008D0FCF"/>
    <w:rsid w:val="008D37F6"/>
    <w:rsid w:val="008D5B54"/>
    <w:rsid w:val="008D6266"/>
    <w:rsid w:val="008D7983"/>
    <w:rsid w:val="008E1E47"/>
    <w:rsid w:val="008E2C19"/>
    <w:rsid w:val="008E631E"/>
    <w:rsid w:val="008F09A9"/>
    <w:rsid w:val="008F33CD"/>
    <w:rsid w:val="00900963"/>
    <w:rsid w:val="0090492C"/>
    <w:rsid w:val="009053DF"/>
    <w:rsid w:val="009105B1"/>
    <w:rsid w:val="009121FF"/>
    <w:rsid w:val="009129DC"/>
    <w:rsid w:val="00913148"/>
    <w:rsid w:val="00914AB5"/>
    <w:rsid w:val="009208D8"/>
    <w:rsid w:val="00922DBD"/>
    <w:rsid w:val="0092387F"/>
    <w:rsid w:val="00925F3A"/>
    <w:rsid w:val="00926505"/>
    <w:rsid w:val="009265C0"/>
    <w:rsid w:val="00926C69"/>
    <w:rsid w:val="00926F0E"/>
    <w:rsid w:val="00932983"/>
    <w:rsid w:val="00932EE1"/>
    <w:rsid w:val="00934802"/>
    <w:rsid w:val="00935573"/>
    <w:rsid w:val="009356A2"/>
    <w:rsid w:val="0093684C"/>
    <w:rsid w:val="00940505"/>
    <w:rsid w:val="009428D8"/>
    <w:rsid w:val="00943AB3"/>
    <w:rsid w:val="00944047"/>
    <w:rsid w:val="009469BE"/>
    <w:rsid w:val="0094797C"/>
    <w:rsid w:val="00947DC2"/>
    <w:rsid w:val="00951FDE"/>
    <w:rsid w:val="00954773"/>
    <w:rsid w:val="00954FC6"/>
    <w:rsid w:val="0095621C"/>
    <w:rsid w:val="00956F03"/>
    <w:rsid w:val="00957FBC"/>
    <w:rsid w:val="00960420"/>
    <w:rsid w:val="00960714"/>
    <w:rsid w:val="0096255F"/>
    <w:rsid w:val="00962879"/>
    <w:rsid w:val="00967C6A"/>
    <w:rsid w:val="009704FB"/>
    <w:rsid w:val="0097072A"/>
    <w:rsid w:val="0097114C"/>
    <w:rsid w:val="0097527E"/>
    <w:rsid w:val="0097686F"/>
    <w:rsid w:val="00976A5A"/>
    <w:rsid w:val="009832ED"/>
    <w:rsid w:val="009848A3"/>
    <w:rsid w:val="00985FC1"/>
    <w:rsid w:val="00991785"/>
    <w:rsid w:val="00993E9F"/>
    <w:rsid w:val="00994B34"/>
    <w:rsid w:val="00994EF3"/>
    <w:rsid w:val="00997431"/>
    <w:rsid w:val="00997577"/>
    <w:rsid w:val="009A03A4"/>
    <w:rsid w:val="009A03E1"/>
    <w:rsid w:val="009A200B"/>
    <w:rsid w:val="009A3A21"/>
    <w:rsid w:val="009A6C91"/>
    <w:rsid w:val="009A6DFF"/>
    <w:rsid w:val="009A7C8E"/>
    <w:rsid w:val="009B335C"/>
    <w:rsid w:val="009B64C7"/>
    <w:rsid w:val="009C0E73"/>
    <w:rsid w:val="009C1C52"/>
    <w:rsid w:val="009C2EA4"/>
    <w:rsid w:val="009C3A66"/>
    <w:rsid w:val="009C7CDB"/>
    <w:rsid w:val="009D1A9A"/>
    <w:rsid w:val="009D7913"/>
    <w:rsid w:val="009D7B56"/>
    <w:rsid w:val="009E13AA"/>
    <w:rsid w:val="009E1A09"/>
    <w:rsid w:val="009E217E"/>
    <w:rsid w:val="009E318C"/>
    <w:rsid w:val="009E4D2D"/>
    <w:rsid w:val="009E538A"/>
    <w:rsid w:val="009E63A4"/>
    <w:rsid w:val="009E7589"/>
    <w:rsid w:val="009F1C41"/>
    <w:rsid w:val="009F3981"/>
    <w:rsid w:val="009F4D87"/>
    <w:rsid w:val="009F70E9"/>
    <w:rsid w:val="00A00B4A"/>
    <w:rsid w:val="00A00CA0"/>
    <w:rsid w:val="00A02217"/>
    <w:rsid w:val="00A0777B"/>
    <w:rsid w:val="00A10251"/>
    <w:rsid w:val="00A10B9C"/>
    <w:rsid w:val="00A13230"/>
    <w:rsid w:val="00A13762"/>
    <w:rsid w:val="00A14918"/>
    <w:rsid w:val="00A15132"/>
    <w:rsid w:val="00A16360"/>
    <w:rsid w:val="00A20F1A"/>
    <w:rsid w:val="00A25D84"/>
    <w:rsid w:val="00A25F81"/>
    <w:rsid w:val="00A26182"/>
    <w:rsid w:val="00A31D12"/>
    <w:rsid w:val="00A31DC5"/>
    <w:rsid w:val="00A32DC7"/>
    <w:rsid w:val="00A3528B"/>
    <w:rsid w:val="00A3759B"/>
    <w:rsid w:val="00A4337D"/>
    <w:rsid w:val="00A45D4A"/>
    <w:rsid w:val="00A50878"/>
    <w:rsid w:val="00A51787"/>
    <w:rsid w:val="00A55397"/>
    <w:rsid w:val="00A56005"/>
    <w:rsid w:val="00A5666D"/>
    <w:rsid w:val="00A56ED0"/>
    <w:rsid w:val="00A579D3"/>
    <w:rsid w:val="00A61EE9"/>
    <w:rsid w:val="00A650D1"/>
    <w:rsid w:val="00A66146"/>
    <w:rsid w:val="00A66894"/>
    <w:rsid w:val="00A71301"/>
    <w:rsid w:val="00A73FDE"/>
    <w:rsid w:val="00A809BC"/>
    <w:rsid w:val="00A80EE0"/>
    <w:rsid w:val="00A81AA5"/>
    <w:rsid w:val="00A84AF7"/>
    <w:rsid w:val="00A85694"/>
    <w:rsid w:val="00A93BF0"/>
    <w:rsid w:val="00A94C94"/>
    <w:rsid w:val="00A96295"/>
    <w:rsid w:val="00A968AB"/>
    <w:rsid w:val="00A97DD5"/>
    <w:rsid w:val="00AA004B"/>
    <w:rsid w:val="00AA463E"/>
    <w:rsid w:val="00AA548E"/>
    <w:rsid w:val="00AA69EF"/>
    <w:rsid w:val="00AB2DA2"/>
    <w:rsid w:val="00AB3915"/>
    <w:rsid w:val="00AC0309"/>
    <w:rsid w:val="00AC0716"/>
    <w:rsid w:val="00AC59D2"/>
    <w:rsid w:val="00AC5BEF"/>
    <w:rsid w:val="00AC68BE"/>
    <w:rsid w:val="00AC7CD6"/>
    <w:rsid w:val="00AD0028"/>
    <w:rsid w:val="00AD04A1"/>
    <w:rsid w:val="00AD19EC"/>
    <w:rsid w:val="00AD606D"/>
    <w:rsid w:val="00AE17D4"/>
    <w:rsid w:val="00AE4FA9"/>
    <w:rsid w:val="00AE5F4A"/>
    <w:rsid w:val="00AE7C82"/>
    <w:rsid w:val="00AF2F2D"/>
    <w:rsid w:val="00AF30A5"/>
    <w:rsid w:val="00AF3186"/>
    <w:rsid w:val="00AF5B6E"/>
    <w:rsid w:val="00AF7744"/>
    <w:rsid w:val="00B0282B"/>
    <w:rsid w:val="00B05690"/>
    <w:rsid w:val="00B057CB"/>
    <w:rsid w:val="00B10136"/>
    <w:rsid w:val="00B14C52"/>
    <w:rsid w:val="00B20062"/>
    <w:rsid w:val="00B202B8"/>
    <w:rsid w:val="00B2172B"/>
    <w:rsid w:val="00B22C3C"/>
    <w:rsid w:val="00B22F84"/>
    <w:rsid w:val="00B320DC"/>
    <w:rsid w:val="00B32AB5"/>
    <w:rsid w:val="00B35A8E"/>
    <w:rsid w:val="00B374AD"/>
    <w:rsid w:val="00B4014F"/>
    <w:rsid w:val="00B4213D"/>
    <w:rsid w:val="00B45635"/>
    <w:rsid w:val="00B50A24"/>
    <w:rsid w:val="00B52044"/>
    <w:rsid w:val="00B52063"/>
    <w:rsid w:val="00B53898"/>
    <w:rsid w:val="00B539A1"/>
    <w:rsid w:val="00B53A32"/>
    <w:rsid w:val="00B53C15"/>
    <w:rsid w:val="00B5701B"/>
    <w:rsid w:val="00B615CC"/>
    <w:rsid w:val="00B6291B"/>
    <w:rsid w:val="00B7023F"/>
    <w:rsid w:val="00B708FB"/>
    <w:rsid w:val="00B74348"/>
    <w:rsid w:val="00B7630C"/>
    <w:rsid w:val="00B81C73"/>
    <w:rsid w:val="00B81F70"/>
    <w:rsid w:val="00B83B9B"/>
    <w:rsid w:val="00B85DF4"/>
    <w:rsid w:val="00B9451F"/>
    <w:rsid w:val="00BA36C0"/>
    <w:rsid w:val="00BA3CFD"/>
    <w:rsid w:val="00BA4FD1"/>
    <w:rsid w:val="00BA5499"/>
    <w:rsid w:val="00BA7EF2"/>
    <w:rsid w:val="00BB32F0"/>
    <w:rsid w:val="00BB3DE9"/>
    <w:rsid w:val="00BB473F"/>
    <w:rsid w:val="00BB618A"/>
    <w:rsid w:val="00BC05A6"/>
    <w:rsid w:val="00BC10C2"/>
    <w:rsid w:val="00BC1CFB"/>
    <w:rsid w:val="00BC5B92"/>
    <w:rsid w:val="00BC6349"/>
    <w:rsid w:val="00BD10A6"/>
    <w:rsid w:val="00BD2399"/>
    <w:rsid w:val="00BD3E31"/>
    <w:rsid w:val="00BD5453"/>
    <w:rsid w:val="00BD78DB"/>
    <w:rsid w:val="00BE50AA"/>
    <w:rsid w:val="00BE7316"/>
    <w:rsid w:val="00BE7C55"/>
    <w:rsid w:val="00BE7EE9"/>
    <w:rsid w:val="00BF00E3"/>
    <w:rsid w:val="00BF0C5F"/>
    <w:rsid w:val="00BF1449"/>
    <w:rsid w:val="00BF2AE4"/>
    <w:rsid w:val="00BF3814"/>
    <w:rsid w:val="00BF4EEF"/>
    <w:rsid w:val="00C01C80"/>
    <w:rsid w:val="00C10827"/>
    <w:rsid w:val="00C11964"/>
    <w:rsid w:val="00C14277"/>
    <w:rsid w:val="00C236F4"/>
    <w:rsid w:val="00C24634"/>
    <w:rsid w:val="00C2500C"/>
    <w:rsid w:val="00C25081"/>
    <w:rsid w:val="00C25A16"/>
    <w:rsid w:val="00C31A20"/>
    <w:rsid w:val="00C31BC2"/>
    <w:rsid w:val="00C3321C"/>
    <w:rsid w:val="00C356E8"/>
    <w:rsid w:val="00C4569B"/>
    <w:rsid w:val="00C471ED"/>
    <w:rsid w:val="00C5056D"/>
    <w:rsid w:val="00C50F95"/>
    <w:rsid w:val="00C54DFC"/>
    <w:rsid w:val="00C607C9"/>
    <w:rsid w:val="00C64B15"/>
    <w:rsid w:val="00C657ED"/>
    <w:rsid w:val="00C65823"/>
    <w:rsid w:val="00C65B8B"/>
    <w:rsid w:val="00C67834"/>
    <w:rsid w:val="00C67F24"/>
    <w:rsid w:val="00C72782"/>
    <w:rsid w:val="00C730A2"/>
    <w:rsid w:val="00C73E6F"/>
    <w:rsid w:val="00C73EA4"/>
    <w:rsid w:val="00C75154"/>
    <w:rsid w:val="00C760BC"/>
    <w:rsid w:val="00C76D9F"/>
    <w:rsid w:val="00C8353B"/>
    <w:rsid w:val="00C83898"/>
    <w:rsid w:val="00C867BC"/>
    <w:rsid w:val="00C90B56"/>
    <w:rsid w:val="00C924ED"/>
    <w:rsid w:val="00C94E7B"/>
    <w:rsid w:val="00C954D7"/>
    <w:rsid w:val="00CA02C6"/>
    <w:rsid w:val="00CA0EB9"/>
    <w:rsid w:val="00CA136E"/>
    <w:rsid w:val="00CA1B43"/>
    <w:rsid w:val="00CA4EA1"/>
    <w:rsid w:val="00CA505B"/>
    <w:rsid w:val="00CA587F"/>
    <w:rsid w:val="00CA6F12"/>
    <w:rsid w:val="00CA75DC"/>
    <w:rsid w:val="00CA7800"/>
    <w:rsid w:val="00CA7D25"/>
    <w:rsid w:val="00CB2A38"/>
    <w:rsid w:val="00CB3185"/>
    <w:rsid w:val="00CB5D46"/>
    <w:rsid w:val="00CB5E98"/>
    <w:rsid w:val="00CB6330"/>
    <w:rsid w:val="00CC0C7A"/>
    <w:rsid w:val="00CC39D2"/>
    <w:rsid w:val="00CC763E"/>
    <w:rsid w:val="00CD3322"/>
    <w:rsid w:val="00CD363C"/>
    <w:rsid w:val="00CD4346"/>
    <w:rsid w:val="00CD70EB"/>
    <w:rsid w:val="00CD719F"/>
    <w:rsid w:val="00CE19AC"/>
    <w:rsid w:val="00CE5938"/>
    <w:rsid w:val="00CE6A89"/>
    <w:rsid w:val="00CE7E5A"/>
    <w:rsid w:val="00CE7F33"/>
    <w:rsid w:val="00CF53AA"/>
    <w:rsid w:val="00CF549A"/>
    <w:rsid w:val="00D05501"/>
    <w:rsid w:val="00D06875"/>
    <w:rsid w:val="00D122BE"/>
    <w:rsid w:val="00D1530C"/>
    <w:rsid w:val="00D1613E"/>
    <w:rsid w:val="00D20C24"/>
    <w:rsid w:val="00D21BB7"/>
    <w:rsid w:val="00D22CEB"/>
    <w:rsid w:val="00D253BF"/>
    <w:rsid w:val="00D3397C"/>
    <w:rsid w:val="00D349D1"/>
    <w:rsid w:val="00D34E70"/>
    <w:rsid w:val="00D35A55"/>
    <w:rsid w:val="00D363E8"/>
    <w:rsid w:val="00D36FC3"/>
    <w:rsid w:val="00D40056"/>
    <w:rsid w:val="00D41486"/>
    <w:rsid w:val="00D4173D"/>
    <w:rsid w:val="00D4215A"/>
    <w:rsid w:val="00D42CA7"/>
    <w:rsid w:val="00D50089"/>
    <w:rsid w:val="00D502A3"/>
    <w:rsid w:val="00D54568"/>
    <w:rsid w:val="00D56907"/>
    <w:rsid w:val="00D60AFC"/>
    <w:rsid w:val="00D60DDD"/>
    <w:rsid w:val="00D61A9C"/>
    <w:rsid w:val="00D620D5"/>
    <w:rsid w:val="00D635CE"/>
    <w:rsid w:val="00D7092D"/>
    <w:rsid w:val="00D726B0"/>
    <w:rsid w:val="00D76C20"/>
    <w:rsid w:val="00D80A98"/>
    <w:rsid w:val="00D83A9B"/>
    <w:rsid w:val="00D8422A"/>
    <w:rsid w:val="00D8769C"/>
    <w:rsid w:val="00D90F5D"/>
    <w:rsid w:val="00D9219F"/>
    <w:rsid w:val="00D93A95"/>
    <w:rsid w:val="00DA0052"/>
    <w:rsid w:val="00DA0B1F"/>
    <w:rsid w:val="00DA5F89"/>
    <w:rsid w:val="00DA6586"/>
    <w:rsid w:val="00DA6C89"/>
    <w:rsid w:val="00DB05AE"/>
    <w:rsid w:val="00DB4583"/>
    <w:rsid w:val="00DB4E1C"/>
    <w:rsid w:val="00DB5096"/>
    <w:rsid w:val="00DC0C84"/>
    <w:rsid w:val="00DC25CD"/>
    <w:rsid w:val="00DC3562"/>
    <w:rsid w:val="00DC418C"/>
    <w:rsid w:val="00DD269D"/>
    <w:rsid w:val="00DD7837"/>
    <w:rsid w:val="00DD795C"/>
    <w:rsid w:val="00DD7C82"/>
    <w:rsid w:val="00DE1518"/>
    <w:rsid w:val="00DE1A1A"/>
    <w:rsid w:val="00DE2088"/>
    <w:rsid w:val="00DE6A97"/>
    <w:rsid w:val="00DF184E"/>
    <w:rsid w:val="00DF26C8"/>
    <w:rsid w:val="00DF6863"/>
    <w:rsid w:val="00E02F60"/>
    <w:rsid w:val="00E070F1"/>
    <w:rsid w:val="00E07431"/>
    <w:rsid w:val="00E07BA5"/>
    <w:rsid w:val="00E10A8C"/>
    <w:rsid w:val="00E12ECB"/>
    <w:rsid w:val="00E13DD0"/>
    <w:rsid w:val="00E1701D"/>
    <w:rsid w:val="00E20E29"/>
    <w:rsid w:val="00E24BDF"/>
    <w:rsid w:val="00E25EDC"/>
    <w:rsid w:val="00E2789D"/>
    <w:rsid w:val="00E40304"/>
    <w:rsid w:val="00E4135E"/>
    <w:rsid w:val="00E41BB9"/>
    <w:rsid w:val="00E4348E"/>
    <w:rsid w:val="00E445AF"/>
    <w:rsid w:val="00E50A06"/>
    <w:rsid w:val="00E510C9"/>
    <w:rsid w:val="00E55C4A"/>
    <w:rsid w:val="00E6212D"/>
    <w:rsid w:val="00E65AFD"/>
    <w:rsid w:val="00E6618A"/>
    <w:rsid w:val="00E666BF"/>
    <w:rsid w:val="00E66791"/>
    <w:rsid w:val="00E70072"/>
    <w:rsid w:val="00E70BE7"/>
    <w:rsid w:val="00E734E7"/>
    <w:rsid w:val="00E74111"/>
    <w:rsid w:val="00E77D73"/>
    <w:rsid w:val="00E81739"/>
    <w:rsid w:val="00E82BDD"/>
    <w:rsid w:val="00E82E00"/>
    <w:rsid w:val="00E844CC"/>
    <w:rsid w:val="00E8510B"/>
    <w:rsid w:val="00E855A5"/>
    <w:rsid w:val="00E91400"/>
    <w:rsid w:val="00E95160"/>
    <w:rsid w:val="00E9621C"/>
    <w:rsid w:val="00E97DB3"/>
    <w:rsid w:val="00EA1C2B"/>
    <w:rsid w:val="00EA2475"/>
    <w:rsid w:val="00EA2F46"/>
    <w:rsid w:val="00EA3F0B"/>
    <w:rsid w:val="00EA4674"/>
    <w:rsid w:val="00EA632D"/>
    <w:rsid w:val="00EA751E"/>
    <w:rsid w:val="00EB1FF2"/>
    <w:rsid w:val="00EB266B"/>
    <w:rsid w:val="00EB32BB"/>
    <w:rsid w:val="00EB362B"/>
    <w:rsid w:val="00EB5194"/>
    <w:rsid w:val="00EB7074"/>
    <w:rsid w:val="00EC44EA"/>
    <w:rsid w:val="00EC4958"/>
    <w:rsid w:val="00EC647D"/>
    <w:rsid w:val="00ED0E84"/>
    <w:rsid w:val="00ED6C9B"/>
    <w:rsid w:val="00EE025E"/>
    <w:rsid w:val="00EE1190"/>
    <w:rsid w:val="00EE2334"/>
    <w:rsid w:val="00EE2569"/>
    <w:rsid w:val="00EE4519"/>
    <w:rsid w:val="00EE5CD9"/>
    <w:rsid w:val="00EF0CE5"/>
    <w:rsid w:val="00EF445E"/>
    <w:rsid w:val="00EF6CC8"/>
    <w:rsid w:val="00EF789C"/>
    <w:rsid w:val="00F007A0"/>
    <w:rsid w:val="00F04401"/>
    <w:rsid w:val="00F04EC4"/>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306DA"/>
    <w:rsid w:val="00F33422"/>
    <w:rsid w:val="00F338BB"/>
    <w:rsid w:val="00F340DB"/>
    <w:rsid w:val="00F42F29"/>
    <w:rsid w:val="00F4356A"/>
    <w:rsid w:val="00F450E7"/>
    <w:rsid w:val="00F47F8E"/>
    <w:rsid w:val="00F504AF"/>
    <w:rsid w:val="00F50C02"/>
    <w:rsid w:val="00F511D1"/>
    <w:rsid w:val="00F51FCB"/>
    <w:rsid w:val="00F535CA"/>
    <w:rsid w:val="00F57A16"/>
    <w:rsid w:val="00F61549"/>
    <w:rsid w:val="00F62E4B"/>
    <w:rsid w:val="00F647E6"/>
    <w:rsid w:val="00F708E5"/>
    <w:rsid w:val="00F7193D"/>
    <w:rsid w:val="00F726D8"/>
    <w:rsid w:val="00F73ACA"/>
    <w:rsid w:val="00F73FD6"/>
    <w:rsid w:val="00F751E8"/>
    <w:rsid w:val="00F770DC"/>
    <w:rsid w:val="00F80207"/>
    <w:rsid w:val="00F80510"/>
    <w:rsid w:val="00F81314"/>
    <w:rsid w:val="00F847DE"/>
    <w:rsid w:val="00F90C91"/>
    <w:rsid w:val="00F93B70"/>
    <w:rsid w:val="00F940B1"/>
    <w:rsid w:val="00F94961"/>
    <w:rsid w:val="00F94F85"/>
    <w:rsid w:val="00F962B5"/>
    <w:rsid w:val="00F97AB2"/>
    <w:rsid w:val="00FA15F6"/>
    <w:rsid w:val="00FA22E9"/>
    <w:rsid w:val="00FA3711"/>
    <w:rsid w:val="00FA4B61"/>
    <w:rsid w:val="00FA5931"/>
    <w:rsid w:val="00FB2CD3"/>
    <w:rsid w:val="00FB3016"/>
    <w:rsid w:val="00FB35C2"/>
    <w:rsid w:val="00FB3A3F"/>
    <w:rsid w:val="00FB44B2"/>
    <w:rsid w:val="00FB71C1"/>
    <w:rsid w:val="00FC1065"/>
    <w:rsid w:val="00FC5D60"/>
    <w:rsid w:val="00FC72D5"/>
    <w:rsid w:val="00FC7E97"/>
    <w:rsid w:val="00FD0418"/>
    <w:rsid w:val="00FD216C"/>
    <w:rsid w:val="00FD29A2"/>
    <w:rsid w:val="00FD2BFB"/>
    <w:rsid w:val="00FD32A2"/>
    <w:rsid w:val="00FD5FA8"/>
    <w:rsid w:val="00FD60CA"/>
    <w:rsid w:val="00FD7033"/>
    <w:rsid w:val="00FD793F"/>
    <w:rsid w:val="00FE004A"/>
    <w:rsid w:val="00FE1F59"/>
    <w:rsid w:val="00FE3169"/>
    <w:rsid w:val="00FE4A41"/>
    <w:rsid w:val="00FF252A"/>
    <w:rsid w:val="00FF5B7D"/>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46F96A47-5736-4C18-945A-A7D77195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093"/>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17"/>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017140">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 w:id="1457722189">
      <w:bodyDiv w:val="1"/>
      <w:marLeft w:val="0"/>
      <w:marRight w:val="0"/>
      <w:marTop w:val="0"/>
      <w:marBottom w:val="0"/>
      <w:divBdr>
        <w:top w:val="none" w:sz="0" w:space="0" w:color="auto"/>
        <w:left w:val="none" w:sz="0" w:space="0" w:color="auto"/>
        <w:bottom w:val="none" w:sz="0" w:space="0" w:color="auto"/>
        <w:right w:val="none" w:sz="0" w:space="0" w:color="auto"/>
      </w:divBdr>
    </w:div>
    <w:div w:id="1800952316">
      <w:bodyDiv w:val="1"/>
      <w:marLeft w:val="0"/>
      <w:marRight w:val="0"/>
      <w:marTop w:val="0"/>
      <w:marBottom w:val="0"/>
      <w:divBdr>
        <w:top w:val="none" w:sz="0" w:space="0" w:color="auto"/>
        <w:left w:val="none" w:sz="0" w:space="0" w:color="auto"/>
        <w:bottom w:val="none" w:sz="0" w:space="0" w:color="auto"/>
        <w:right w:val="none" w:sz="0" w:space="0" w:color="auto"/>
      </w:divBdr>
    </w:div>
    <w:div w:id="187538354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image" Target="media/image6.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www.dcusa.co.uk/group/dcmdg/"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access-and-forward-looking-charges-significant-code-review-decision-and-direc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https://ssecom-my.sharepoint.com/personal/edda_dirks_sse_com/Documents/Copy%20of%20DCP%20443%20Updated%20RFI%20Data_250423_02_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kern="1200" spc="0" baseline="0">
                <a:solidFill>
                  <a:sysClr val="windowText" lastClr="000000">
                    <a:lumMod val="65000"/>
                    <a:lumOff val="35000"/>
                  </a:sysClr>
                </a:solidFill>
              </a:rPr>
              <a:t>Average Annual Proportion of Customers Exceeding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 - Monthly Average Data'!$D$35</c:f>
              <c:strCache>
                <c:ptCount val="1"/>
                <c:pt idx="0">
                  <c:v>LV HH Metered</c:v>
                </c:pt>
              </c:strCache>
            </c:strRef>
          </c:tx>
          <c:spPr>
            <a:ln w="28575" cap="rnd">
              <a:solidFill>
                <a:schemeClr val="accent1"/>
              </a:solidFill>
              <a:round/>
            </a:ln>
            <a:effectLst/>
          </c:spPr>
          <c:marker>
            <c:symbol val="none"/>
          </c:marker>
          <c:trendline>
            <c:spPr>
              <a:ln w="19050" cap="rnd">
                <a:solidFill>
                  <a:schemeClr val="accent1"/>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Data'!$D$36:$D$46</c:f>
              <c:numCache>
                <c:formatCode>0.0%</c:formatCode>
                <c:ptCount val="11"/>
                <c:pt idx="0">
                  <c:v>0.14888552960660234</c:v>
                </c:pt>
                <c:pt idx="1">
                  <c:v>0.14448491437244196</c:v>
                </c:pt>
                <c:pt idx="2">
                  <c:v>9.4956935863410863E-2</c:v>
                </c:pt>
                <c:pt idx="3">
                  <c:v>0.11479395106982143</c:v>
                </c:pt>
                <c:pt idx="4">
                  <c:v>0.12480424429633141</c:v>
                </c:pt>
                <c:pt idx="5">
                  <c:v>0.10322681624865922</c:v>
                </c:pt>
                <c:pt idx="6">
                  <c:v>9.2929613013886678E-2</c:v>
                </c:pt>
                <c:pt idx="7">
                  <c:v>7.8141442446998957E-2</c:v>
                </c:pt>
                <c:pt idx="8">
                  <c:v>8.1567250402818675E-2</c:v>
                </c:pt>
                <c:pt idx="9">
                  <c:v>8.4991971973917599E-2</c:v>
                </c:pt>
                <c:pt idx="10">
                  <c:v>8.6152591920354668E-2</c:v>
                </c:pt>
              </c:numCache>
            </c:numRef>
          </c:val>
          <c:smooth val="0"/>
          <c:extLst>
            <c:ext xmlns:c16="http://schemas.microsoft.com/office/drawing/2014/chart" uri="{C3380CC4-5D6E-409C-BE32-E72D297353CC}">
              <c16:uniqueId val="{00000001-998E-449A-A4EF-EA58EBF95E24}"/>
            </c:ext>
          </c:extLst>
        </c:ser>
        <c:ser>
          <c:idx val="1"/>
          <c:order val="1"/>
          <c:tx>
            <c:strRef>
              <c:f>'M - Monthly Average Data'!$E$35</c:f>
              <c:strCache>
                <c:ptCount val="1"/>
                <c:pt idx="0">
                  <c:v>LV Sub HH Metered</c:v>
                </c:pt>
              </c:strCache>
            </c:strRef>
          </c:tx>
          <c:spPr>
            <a:ln w="28575" cap="rnd">
              <a:solidFill>
                <a:schemeClr val="accent2"/>
              </a:solidFill>
              <a:round/>
            </a:ln>
            <a:effectLst/>
          </c:spPr>
          <c:marker>
            <c:symbol val="none"/>
          </c:marker>
          <c:trendline>
            <c:spPr>
              <a:ln w="19050" cap="rnd">
                <a:solidFill>
                  <a:schemeClr val="accent2"/>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Data'!$E$36:$E$46</c:f>
              <c:numCache>
                <c:formatCode>0.0%</c:formatCode>
                <c:ptCount val="11"/>
                <c:pt idx="0">
                  <c:v>0.18238887690402789</c:v>
                </c:pt>
                <c:pt idx="1">
                  <c:v>0.16786774136968374</c:v>
                </c:pt>
                <c:pt idx="2">
                  <c:v>0.13482643617075568</c:v>
                </c:pt>
                <c:pt idx="3">
                  <c:v>0.14718155021613877</c:v>
                </c:pt>
                <c:pt idx="4">
                  <c:v>0.14216269288595121</c:v>
                </c:pt>
                <c:pt idx="5">
                  <c:v>0.11952510535455992</c:v>
                </c:pt>
                <c:pt idx="6">
                  <c:v>0.11255555342233016</c:v>
                </c:pt>
                <c:pt idx="7">
                  <c:v>8.5229785906663441E-2</c:v>
                </c:pt>
                <c:pt idx="8">
                  <c:v>8.2515919922417441E-2</c:v>
                </c:pt>
                <c:pt idx="9">
                  <c:v>8.266773962003271E-2</c:v>
                </c:pt>
                <c:pt idx="10">
                  <c:v>7.7517910597541581E-2</c:v>
                </c:pt>
              </c:numCache>
            </c:numRef>
          </c:val>
          <c:smooth val="0"/>
          <c:extLst>
            <c:ext xmlns:c16="http://schemas.microsoft.com/office/drawing/2014/chart" uri="{C3380CC4-5D6E-409C-BE32-E72D297353CC}">
              <c16:uniqueId val="{00000003-998E-449A-A4EF-EA58EBF95E24}"/>
            </c:ext>
          </c:extLst>
        </c:ser>
        <c:ser>
          <c:idx val="2"/>
          <c:order val="2"/>
          <c:tx>
            <c:strRef>
              <c:f>'M - Monthly Average Data'!$F$35</c:f>
              <c:strCache>
                <c:ptCount val="1"/>
                <c:pt idx="0">
                  <c:v>HV HH Metered</c:v>
                </c:pt>
              </c:strCache>
            </c:strRef>
          </c:tx>
          <c:spPr>
            <a:ln w="28575" cap="rnd">
              <a:solidFill>
                <a:schemeClr val="accent3"/>
              </a:solidFill>
              <a:round/>
            </a:ln>
            <a:effectLst/>
          </c:spPr>
          <c:marker>
            <c:symbol val="none"/>
          </c:marker>
          <c:trendline>
            <c:spPr>
              <a:ln w="19050" cap="rnd">
                <a:solidFill>
                  <a:schemeClr val="accent3"/>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Data'!$F$36:$F$46</c:f>
              <c:numCache>
                <c:formatCode>0.0%</c:formatCode>
                <c:ptCount val="11"/>
                <c:pt idx="0">
                  <c:v>0.12135164315271793</c:v>
                </c:pt>
                <c:pt idx="1">
                  <c:v>0.11977458752142471</c:v>
                </c:pt>
                <c:pt idx="2">
                  <c:v>0.11814732323174409</c:v>
                </c:pt>
                <c:pt idx="3">
                  <c:v>0.11208394213501291</c:v>
                </c:pt>
                <c:pt idx="4">
                  <c:v>0.11124893416372983</c:v>
                </c:pt>
                <c:pt idx="5">
                  <c:v>0.10057397818306531</c:v>
                </c:pt>
                <c:pt idx="6">
                  <c:v>9.197324903009188E-2</c:v>
                </c:pt>
                <c:pt idx="7">
                  <c:v>8.0924308281036278E-2</c:v>
                </c:pt>
                <c:pt idx="8">
                  <c:v>8.0638887593359576E-2</c:v>
                </c:pt>
                <c:pt idx="9">
                  <c:v>7.7055156772687067E-2</c:v>
                </c:pt>
                <c:pt idx="10">
                  <c:v>7.444843670498788E-2</c:v>
                </c:pt>
              </c:numCache>
            </c:numRef>
          </c:val>
          <c:smooth val="0"/>
          <c:extLst>
            <c:ext xmlns:c16="http://schemas.microsoft.com/office/drawing/2014/chart" uri="{C3380CC4-5D6E-409C-BE32-E72D297353CC}">
              <c16:uniqueId val="{00000005-998E-449A-A4EF-EA58EBF95E24}"/>
            </c:ext>
          </c:extLst>
        </c:ser>
        <c:ser>
          <c:idx val="3"/>
          <c:order val="3"/>
          <c:tx>
            <c:strRef>
              <c:f>'M - Monthly Average Data'!$G$35</c:f>
              <c:strCache>
                <c:ptCount val="1"/>
                <c:pt idx="0">
                  <c:v>EDCM</c:v>
                </c:pt>
              </c:strCache>
            </c:strRef>
          </c:tx>
          <c:spPr>
            <a:ln w="28575" cap="rnd">
              <a:solidFill>
                <a:schemeClr val="accent4"/>
              </a:solidFill>
              <a:round/>
            </a:ln>
            <a:effectLst/>
          </c:spPr>
          <c:marker>
            <c:symbol val="none"/>
          </c:marker>
          <c:trendline>
            <c:spPr>
              <a:ln w="19050" cap="rnd">
                <a:solidFill>
                  <a:schemeClr val="accent4"/>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Data'!$G$36:$G$46</c:f>
              <c:numCache>
                <c:formatCode>0.0%</c:formatCode>
                <c:ptCount val="11"/>
                <c:pt idx="0">
                  <c:v>0.20214814230540112</c:v>
                </c:pt>
                <c:pt idx="1">
                  <c:v>0.22329023499959025</c:v>
                </c:pt>
                <c:pt idx="2">
                  <c:v>0.27292482060073969</c:v>
                </c:pt>
                <c:pt idx="3">
                  <c:v>0.27309700874857062</c:v>
                </c:pt>
                <c:pt idx="4">
                  <c:v>0.26455891611162619</c:v>
                </c:pt>
                <c:pt idx="5">
                  <c:v>0.23122550208183262</c:v>
                </c:pt>
                <c:pt idx="6">
                  <c:v>0.2161401173136647</c:v>
                </c:pt>
                <c:pt idx="7">
                  <c:v>0.21588106336531523</c:v>
                </c:pt>
                <c:pt idx="8">
                  <c:v>0.2117670418328825</c:v>
                </c:pt>
                <c:pt idx="9">
                  <c:v>0.20770406919628018</c:v>
                </c:pt>
                <c:pt idx="10">
                  <c:v>0.20431490993685539</c:v>
                </c:pt>
              </c:numCache>
            </c:numRef>
          </c:val>
          <c:smooth val="0"/>
          <c:extLst>
            <c:ext xmlns:c16="http://schemas.microsoft.com/office/drawing/2014/chart" uri="{C3380CC4-5D6E-409C-BE32-E72D297353CC}">
              <c16:uniqueId val="{00000007-998E-449A-A4EF-EA58EBF95E24}"/>
            </c:ext>
          </c:extLst>
        </c:ser>
        <c:ser>
          <c:idx val="4"/>
          <c:order val="4"/>
          <c:tx>
            <c:strRef>
              <c:f>'M - Monthly Average Data'!$H$35</c:f>
              <c:strCache>
                <c:ptCount val="1"/>
                <c:pt idx="0">
                  <c:v>total</c:v>
                </c:pt>
              </c:strCache>
            </c:strRef>
          </c:tx>
          <c:spPr>
            <a:ln w="28575" cap="rnd">
              <a:solidFill>
                <a:schemeClr val="accent5"/>
              </a:solidFill>
              <a:round/>
            </a:ln>
            <a:effectLst/>
          </c:spPr>
          <c:marker>
            <c:symbol val="none"/>
          </c:marker>
          <c:trendline>
            <c:spPr>
              <a:ln w="19050" cap="rnd">
                <a:solidFill>
                  <a:schemeClr val="accent5"/>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Data'!$H$36:$H$46</c:f>
              <c:numCache>
                <c:formatCode>0.0%</c:formatCode>
                <c:ptCount val="11"/>
                <c:pt idx="0">
                  <c:v>0.14496150378860098</c:v>
                </c:pt>
                <c:pt idx="1">
                  <c:v>0.14152682042833875</c:v>
                </c:pt>
                <c:pt idx="2">
                  <c:v>0.1072877025958353</c:v>
                </c:pt>
                <c:pt idx="3">
                  <c:v>0.11949615977436641</c:v>
                </c:pt>
                <c:pt idx="4">
                  <c:v>0.12612382246469628</c:v>
                </c:pt>
                <c:pt idx="5">
                  <c:v>0.10607463293827726</c:v>
                </c:pt>
                <c:pt idx="6">
                  <c:v>9.6159280988051418E-2</c:v>
                </c:pt>
                <c:pt idx="7">
                  <c:v>8.1572082906104459E-2</c:v>
                </c:pt>
                <c:pt idx="8">
                  <c:v>8.3928130384919891E-2</c:v>
                </c:pt>
                <c:pt idx="9">
                  <c:v>8.6044502979331736E-2</c:v>
                </c:pt>
                <c:pt idx="10">
                  <c:v>8.6229645859947662E-2</c:v>
                </c:pt>
              </c:numCache>
            </c:numRef>
          </c:val>
          <c:smooth val="0"/>
          <c:extLst>
            <c:ext xmlns:c16="http://schemas.microsoft.com/office/drawing/2014/chart" uri="{C3380CC4-5D6E-409C-BE32-E72D297353CC}">
              <c16:uniqueId val="{00000009-998E-449A-A4EF-EA58EBF95E24}"/>
            </c:ext>
          </c:extLst>
        </c:ser>
        <c:dLbls>
          <c:showLegendKey val="0"/>
          <c:showVal val="0"/>
          <c:showCatName val="0"/>
          <c:showSerName val="0"/>
          <c:showPercent val="0"/>
          <c:showBubbleSize val="0"/>
        </c:dLbls>
        <c:smooth val="0"/>
        <c:axId val="967439647"/>
        <c:axId val="967438207"/>
      </c:lineChart>
      <c:catAx>
        <c:axId val="9674396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8207"/>
        <c:crosses val="autoZero"/>
        <c:auto val="1"/>
        <c:lblAlgn val="ctr"/>
        <c:lblOffset val="100"/>
        <c:noMultiLvlLbl val="0"/>
      </c:catAx>
      <c:valAx>
        <c:axId val="96743820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9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0A3B4147C4A6CA4E04D4A20D9DDB6"/>
        <w:category>
          <w:name w:val="General"/>
          <w:gallery w:val="placeholder"/>
        </w:category>
        <w:types>
          <w:type w:val="bbPlcHdr"/>
        </w:types>
        <w:behaviors>
          <w:behavior w:val="content"/>
        </w:behaviors>
        <w:guid w:val="{411B10E9-BE02-48C4-9938-05E8C9973BFD}"/>
      </w:docPartPr>
      <w:docPartBody>
        <w:p w:rsidR="00AA1C7D" w:rsidRDefault="00AA1C7D" w:rsidP="00AA1C7D">
          <w:pPr>
            <w:pStyle w:val="AAB0A3B4147C4A6CA4E04D4A20D9DDB6"/>
          </w:pPr>
          <w:r w:rsidRPr="00CB28D9">
            <w:rPr>
              <w:rStyle w:val="IntenseEmphasis"/>
              <w:rFonts w:eastAsiaTheme="minorEastAsia"/>
            </w:rPr>
            <w:t>[Select Date]</w:t>
          </w:r>
        </w:p>
      </w:docPartBody>
    </w:docPart>
    <w:docPart>
      <w:docPartPr>
        <w:name w:val="111B52CF7E6E4061AF2DF5DDC46FABE3"/>
        <w:category>
          <w:name w:val="General"/>
          <w:gallery w:val="placeholder"/>
        </w:category>
        <w:types>
          <w:type w:val="bbPlcHdr"/>
        </w:types>
        <w:behaviors>
          <w:behavior w:val="content"/>
        </w:behaviors>
        <w:guid w:val="{1656925C-210C-4305-8B7D-6060DAFD13F9}"/>
      </w:docPartPr>
      <w:docPartBody>
        <w:p w:rsidR="00AA1C7D" w:rsidRDefault="00AA1C7D" w:rsidP="00AA1C7D">
          <w:pPr>
            <w:pStyle w:val="111B52CF7E6E4061AF2DF5DDC46FABE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8AEC9806B14D442997D620053405AAE6"/>
        <w:category>
          <w:name w:val="General"/>
          <w:gallery w:val="placeholder"/>
        </w:category>
        <w:types>
          <w:type w:val="bbPlcHdr"/>
        </w:types>
        <w:behaviors>
          <w:behavior w:val="content"/>
        </w:behaviors>
        <w:guid w:val="{E60B5A5D-D546-4A07-8A4C-E69D8942B8AB}"/>
      </w:docPartPr>
      <w:docPartBody>
        <w:p w:rsidR="00AA1C7D" w:rsidRDefault="00AA1C7D" w:rsidP="00AA1C7D">
          <w:pPr>
            <w:pStyle w:val="8AEC9806B14D442997D620053405AAE6"/>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8B6090734AF74E4B8A5F53BA10464A22"/>
        <w:category>
          <w:name w:val="General"/>
          <w:gallery w:val="placeholder"/>
        </w:category>
        <w:types>
          <w:type w:val="bbPlcHdr"/>
        </w:types>
        <w:behaviors>
          <w:behavior w:val="content"/>
        </w:behaviors>
        <w:guid w:val="{6C1ED588-AD60-4798-A6AA-9BEEAC02C0AB}"/>
      </w:docPartPr>
      <w:docPartBody>
        <w:p w:rsidR="00AA1C7D" w:rsidRDefault="00AA1C7D" w:rsidP="00AA1C7D">
          <w:pPr>
            <w:pStyle w:val="8B6090734AF74E4B8A5F53BA10464A22"/>
          </w:pPr>
          <w:r w:rsidRPr="00CB28D9">
            <w:rPr>
              <w:rStyle w:val="IntenseEmphasis"/>
              <w:rFonts w:eastAsiaTheme="minorEastAsia"/>
            </w:rPr>
            <w:t>[Select Party Category]</w:t>
          </w:r>
        </w:p>
      </w:docPartBody>
    </w:docPart>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1F6CA7"/>
    <w:rsid w:val="00216D1C"/>
    <w:rsid w:val="00225491"/>
    <w:rsid w:val="003C7552"/>
    <w:rsid w:val="00466F9A"/>
    <w:rsid w:val="00530FF8"/>
    <w:rsid w:val="0058785C"/>
    <w:rsid w:val="005E3F06"/>
    <w:rsid w:val="006132EB"/>
    <w:rsid w:val="00616D31"/>
    <w:rsid w:val="00620FEF"/>
    <w:rsid w:val="00647753"/>
    <w:rsid w:val="0072410B"/>
    <w:rsid w:val="00743985"/>
    <w:rsid w:val="007E354C"/>
    <w:rsid w:val="0081066A"/>
    <w:rsid w:val="00932983"/>
    <w:rsid w:val="00932EE1"/>
    <w:rsid w:val="00990FFC"/>
    <w:rsid w:val="00997431"/>
    <w:rsid w:val="009A1854"/>
    <w:rsid w:val="00A248C3"/>
    <w:rsid w:val="00A3528B"/>
    <w:rsid w:val="00AA1C7D"/>
    <w:rsid w:val="00BC5B92"/>
    <w:rsid w:val="00C01C80"/>
    <w:rsid w:val="00E813DD"/>
    <w:rsid w:val="00EB266B"/>
    <w:rsid w:val="00F9568B"/>
    <w:rsid w:val="00FD0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AAB0A3B4147C4A6CA4E04D4A20D9DDB6">
    <w:name w:val="AAB0A3B4147C4A6CA4E04D4A20D9DDB6"/>
    <w:rsid w:val="00AA1C7D"/>
  </w:style>
  <w:style w:type="paragraph" w:customStyle="1" w:styleId="111B52CF7E6E4061AF2DF5DDC46FABE3">
    <w:name w:val="111B52CF7E6E4061AF2DF5DDC46FABE3"/>
    <w:rsid w:val="00AA1C7D"/>
  </w:style>
  <w:style w:type="paragraph" w:customStyle="1" w:styleId="8AEC9806B14D442997D620053405AAE6">
    <w:name w:val="8AEC9806B14D442997D620053405AAE6"/>
    <w:rsid w:val="00AA1C7D"/>
  </w:style>
  <w:style w:type="paragraph" w:customStyle="1" w:styleId="8B6090734AF74E4B8A5F53BA10464A22">
    <w:name w:val="8B6090734AF74E4B8A5F53BA10464A22"/>
    <w:rsid w:val="00AA1C7D"/>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7701</Words>
  <Characters>38430</Characters>
  <Application>Microsoft Office Word</Application>
  <DocSecurity>0</DocSecurity>
  <Lines>725</Lines>
  <Paragraphs>415</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45716</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2024-09-13T11:27:00Z</cp:lastPrinted>
  <dcterms:created xsi:type="dcterms:W3CDTF">2026-07-17T10:32:00Z</dcterms:created>
  <dcterms:modified xsi:type="dcterms:W3CDTF">2026-07-17T10:32:00Z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2024-09-11T06:05:36Z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373c3dda-c19c-43e8-b3d1-742abaed16d2</vt:lpwstr>
  </property>
  <property fmtid="{D5CDD505-2E9C-101B-9397-08002B2CF9AE}" pid="8" name="MSIP_Label_24fe2fa2-8093-4776-8a20-2d25f8c7acf2_ContentBits">
    <vt:lpwstr>0</vt:lpwstr>
  </property>
</Properties>
</file>